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4B9F1">
      <w:pPr>
        <w:spacing w:line="600" w:lineRule="exact"/>
        <w:jc w:val="center"/>
        <w:rPr>
          <w:rFonts w:ascii="Times New Roman" w:hAnsi="Times New Roman" w:eastAsia="方正小标宋简体" w:cs="Times New Roman"/>
          <w:bCs/>
          <w:color w:val="000000"/>
          <w:kern w:val="0"/>
          <w:sz w:val="44"/>
          <w:szCs w:val="44"/>
          <w14:ligatures w14:val="none"/>
        </w:rPr>
      </w:pPr>
      <w:r>
        <w:rPr>
          <w:rFonts w:ascii="Times New Roman" w:hAnsi="Times New Roman" w:eastAsia="方正小标宋简体" w:cs="Times New Roman"/>
          <w:bCs/>
          <w:color w:val="000000"/>
          <w:kern w:val="0"/>
          <w:sz w:val="44"/>
          <w:szCs w:val="44"/>
          <w14:ligatures w14:val="none"/>
        </w:rPr>
        <w:t>华南农业大学经济管理学院优秀毕业</w:t>
      </w:r>
      <w:r>
        <w:rPr>
          <w:rFonts w:hint="eastAsia" w:ascii="Times New Roman" w:hAnsi="Times New Roman" w:eastAsia="方正小标宋简体" w:cs="Times New Roman"/>
          <w:bCs/>
          <w:color w:val="000000"/>
          <w:kern w:val="0"/>
          <w:sz w:val="44"/>
          <w:szCs w:val="44"/>
          <w14:ligatures w14:val="none"/>
        </w:rPr>
        <w:t>研究</w:t>
      </w:r>
      <w:r>
        <w:rPr>
          <w:rFonts w:ascii="Times New Roman" w:hAnsi="Times New Roman" w:eastAsia="方正小标宋简体" w:cs="Times New Roman"/>
          <w:bCs/>
          <w:color w:val="000000"/>
          <w:kern w:val="0"/>
          <w:sz w:val="44"/>
          <w:szCs w:val="44"/>
          <w14:ligatures w14:val="none"/>
        </w:rPr>
        <w:t>生评选</w:t>
      </w:r>
      <w:r>
        <w:rPr>
          <w:rFonts w:hint="eastAsia" w:ascii="Times New Roman" w:hAnsi="Times New Roman" w:eastAsia="方正小标宋简体" w:cs="Times New Roman"/>
          <w:bCs/>
          <w:color w:val="000000"/>
          <w:kern w:val="0"/>
          <w:sz w:val="44"/>
          <w:szCs w:val="44"/>
          <w14:ligatures w14:val="none"/>
        </w:rPr>
        <w:t>办法</w:t>
      </w:r>
    </w:p>
    <w:p w14:paraId="1A6E1C5C">
      <w:pPr>
        <w:shd w:val="clear" w:color="auto" w:fill="FFFFFF"/>
        <w:spacing w:before="315" w:after="315" w:line="600" w:lineRule="exact"/>
        <w:jc w:val="center"/>
        <w:rPr>
          <w:rFonts w:ascii="Times New Roman" w:hAnsi="Times New Roman" w:eastAsia="黑体" w:cs="Times New Roman"/>
          <w:bCs/>
          <w:color w:val="000000"/>
          <w:kern w:val="0"/>
          <w:sz w:val="32"/>
          <w:szCs w:val="32"/>
          <w14:ligatures w14:val="none"/>
        </w:rPr>
      </w:pPr>
      <w:r>
        <w:rPr>
          <w:rFonts w:ascii="Times New Roman" w:hAnsi="Times New Roman" w:eastAsia="黑体" w:cs="Times New Roman"/>
          <w:bCs/>
          <w:color w:val="000000"/>
          <w:kern w:val="0"/>
          <w:sz w:val="32"/>
          <w:szCs w:val="32"/>
          <w14:ligatures w14:val="none"/>
        </w:rPr>
        <w:t>第一章  总  则</w:t>
      </w:r>
    </w:p>
    <w:p w14:paraId="0D42A5AE">
      <w:pPr>
        <w:shd w:val="clear" w:color="auto" w:fill="FFFFFF"/>
        <w:spacing w:line="600" w:lineRule="exact"/>
        <w:ind w:firstLine="643" w:firstLineChars="200"/>
        <w:rPr>
          <w:rFonts w:hint="eastAsia" w:ascii="仿宋" w:hAnsi="仿宋" w:eastAsia="仿宋" w:cs="Times New Roman"/>
          <w:color w:val="000000"/>
          <w:kern w:val="0"/>
          <w:sz w:val="32"/>
          <w:szCs w:val="32"/>
          <w14:ligatures w14:val="none"/>
        </w:rPr>
      </w:pPr>
      <w:r>
        <w:rPr>
          <w:rFonts w:ascii="仿宋" w:hAnsi="仿宋" w:eastAsia="仿宋" w:cs="Times New Roman"/>
          <w:b/>
          <w:color w:val="000000"/>
          <w:kern w:val="0"/>
          <w:sz w:val="32"/>
          <w:szCs w:val="32"/>
          <w14:ligatures w14:val="none"/>
        </w:rPr>
        <w:t>第一条</w:t>
      </w:r>
      <w:r>
        <w:rPr>
          <w:rFonts w:ascii="仿宋" w:hAnsi="仿宋" w:eastAsia="仿宋" w:cs="Times New Roman"/>
          <w:color w:val="000000"/>
          <w:kern w:val="0"/>
          <w:sz w:val="32"/>
          <w:szCs w:val="32"/>
          <w14:ligatures w14:val="none"/>
        </w:rPr>
        <w:t xml:space="preserve">  为深入</w:t>
      </w:r>
      <w:r>
        <w:rPr>
          <w:rFonts w:hint="eastAsia" w:ascii="仿宋" w:hAnsi="仿宋" w:eastAsia="仿宋" w:cs="Times New Roman"/>
          <w:color w:val="000000"/>
          <w:kern w:val="0"/>
          <w:sz w:val="32"/>
          <w:szCs w:val="32"/>
          <w14:ligatures w14:val="none"/>
        </w:rPr>
        <w:t>学习</w:t>
      </w:r>
      <w:r>
        <w:rPr>
          <w:rFonts w:ascii="仿宋" w:hAnsi="仿宋" w:eastAsia="仿宋" w:cs="Times New Roman"/>
          <w:color w:val="000000"/>
          <w:kern w:val="0"/>
          <w:sz w:val="32"/>
          <w:szCs w:val="32"/>
          <w14:ligatures w14:val="none"/>
        </w:rPr>
        <w:t>贯彻习近平新时代中国特色社会主义思想，全面落实全国教育大会、全国高校思想政治工作会议等精神，落实立德树人根本任务，引导学生树立正确的成才观、就业观和择业观，</w:t>
      </w:r>
      <w:r>
        <w:rPr>
          <w:rFonts w:hint="eastAsia" w:ascii="仿宋" w:hAnsi="仿宋" w:eastAsia="仿宋" w:cs="Times New Roman"/>
          <w:color w:val="000000"/>
          <w:kern w:val="0"/>
          <w:sz w:val="32"/>
          <w:szCs w:val="32"/>
          <w14:ligatures w14:val="none"/>
        </w:rPr>
        <w:t>促进</w:t>
      </w:r>
      <w:r>
        <w:rPr>
          <w:rFonts w:ascii="仿宋" w:hAnsi="仿宋" w:eastAsia="仿宋" w:cs="Times New Roman"/>
          <w:color w:val="000000"/>
          <w:kern w:val="0"/>
          <w:sz w:val="32"/>
          <w:szCs w:val="32"/>
          <w14:ligatures w14:val="none"/>
        </w:rPr>
        <w:t>学生</w:t>
      </w:r>
      <w:r>
        <w:rPr>
          <w:rFonts w:hint="eastAsia" w:ascii="仿宋" w:hAnsi="仿宋" w:eastAsia="仿宋" w:cs="Times New Roman"/>
          <w:color w:val="000000"/>
          <w:kern w:val="0"/>
          <w:sz w:val="32"/>
          <w:szCs w:val="32"/>
          <w14:ligatures w14:val="none"/>
        </w:rPr>
        <w:t>五育融通、</w:t>
      </w:r>
      <w:r>
        <w:rPr>
          <w:rFonts w:ascii="仿宋" w:hAnsi="仿宋" w:eastAsia="仿宋" w:cs="Times New Roman"/>
          <w:color w:val="000000"/>
          <w:kern w:val="0"/>
          <w:sz w:val="32"/>
          <w:szCs w:val="32"/>
          <w14:ligatures w14:val="none"/>
        </w:rPr>
        <w:t>全面发展，充分发挥优秀大学生的示范引领作用，</w:t>
      </w:r>
      <w:r>
        <w:rPr>
          <w:rFonts w:hint="eastAsia" w:ascii="仿宋" w:hAnsi="仿宋" w:eastAsia="仿宋" w:cs="Times New Roman"/>
          <w:color w:val="000000"/>
          <w:kern w:val="0"/>
          <w:sz w:val="32"/>
          <w:szCs w:val="32"/>
          <w14:ligatures w14:val="none"/>
        </w:rPr>
        <w:t>助力学校“双一流”建设，</w:t>
      </w:r>
      <w:r>
        <w:rPr>
          <w:rFonts w:ascii="仿宋" w:hAnsi="仿宋" w:eastAsia="仿宋" w:cs="Times New Roman"/>
          <w:color w:val="000000"/>
          <w:kern w:val="0"/>
          <w:sz w:val="32"/>
          <w:szCs w:val="32"/>
          <w14:ligatures w14:val="none"/>
        </w:rPr>
        <w:t>根据《普通高等学校学生管理规定》（中华人民共和国教育部令第41号）等文件精神和上级有关要求，结合学校实际，制定本办法。</w:t>
      </w:r>
    </w:p>
    <w:p w14:paraId="50DAB6C9">
      <w:pPr>
        <w:shd w:val="clear" w:color="auto" w:fill="FFFFFF"/>
        <w:spacing w:line="600" w:lineRule="exact"/>
        <w:ind w:firstLine="643" w:firstLineChars="200"/>
        <w:rPr>
          <w:rFonts w:hint="eastAsia" w:ascii="仿宋" w:hAnsi="仿宋" w:eastAsia="仿宋" w:cs="Times New Roman"/>
          <w:color w:val="000000"/>
          <w:kern w:val="0"/>
          <w:sz w:val="32"/>
          <w:szCs w:val="32"/>
          <w14:ligatures w14:val="none"/>
        </w:rPr>
      </w:pPr>
      <w:r>
        <w:rPr>
          <w:rFonts w:ascii="仿宋" w:hAnsi="仿宋" w:eastAsia="仿宋" w:cs="Times New Roman"/>
          <w:b/>
          <w:color w:val="000000"/>
          <w:kern w:val="0"/>
          <w:sz w:val="32"/>
          <w:szCs w:val="32"/>
          <w14:ligatures w14:val="none"/>
        </w:rPr>
        <w:t>第二条</w:t>
      </w:r>
      <w:r>
        <w:rPr>
          <w:rFonts w:ascii="仿宋" w:hAnsi="仿宋" w:eastAsia="仿宋" w:cs="Times New Roman"/>
          <w:color w:val="000000"/>
          <w:kern w:val="0"/>
          <w:sz w:val="32"/>
          <w:szCs w:val="32"/>
          <w14:ligatures w14:val="none"/>
        </w:rPr>
        <w:t xml:space="preserve">  坚持把评选工作作为大学生思想政治教育和毕业生毕业教育的重要组成部分，</w:t>
      </w:r>
      <w:r>
        <w:rPr>
          <w:rFonts w:hint="eastAsia" w:ascii="仿宋" w:hAnsi="仿宋" w:eastAsia="仿宋" w:cs="Times New Roman"/>
          <w:color w:val="000000"/>
          <w:kern w:val="0"/>
          <w:sz w:val="32"/>
          <w:szCs w:val="32"/>
          <w14:ligatures w14:val="none"/>
        </w:rPr>
        <w:t>厚植爱农情怀，勇担强农使命</w:t>
      </w:r>
      <w:r>
        <w:rPr>
          <w:rFonts w:ascii="仿宋" w:hAnsi="仿宋" w:eastAsia="仿宋" w:cs="Times New Roman"/>
          <w:color w:val="000000"/>
          <w:kern w:val="0"/>
          <w:sz w:val="32"/>
          <w:szCs w:val="32"/>
          <w14:ligatures w14:val="none"/>
        </w:rPr>
        <w:t>；坚持以服务国家战略为导向，引导毕业生积极投身到国家重要行业、关键领域，到基层、到祖国和人民最需要的地方去就业实践</w:t>
      </w:r>
      <w:r>
        <w:rPr>
          <w:rFonts w:hint="eastAsia" w:ascii="仿宋" w:hAnsi="仿宋" w:eastAsia="仿宋" w:cs="Times New Roman"/>
          <w:color w:val="000000"/>
          <w:kern w:val="0"/>
          <w:sz w:val="32"/>
          <w:szCs w:val="32"/>
          <w14:ligatures w14:val="none"/>
        </w:rPr>
        <w:t>；</w:t>
      </w:r>
      <w:r>
        <w:rPr>
          <w:rFonts w:ascii="仿宋" w:hAnsi="仿宋" w:eastAsia="仿宋" w:cs="Times New Roman"/>
          <w:color w:val="000000"/>
          <w:kern w:val="0"/>
          <w:sz w:val="32"/>
          <w:szCs w:val="32"/>
          <w14:ligatures w14:val="none"/>
        </w:rPr>
        <w:t>坚持公平、公正、公开、择优的原则，确保评选质量</w:t>
      </w:r>
      <w:r>
        <w:rPr>
          <w:rFonts w:hint="eastAsia" w:ascii="仿宋" w:hAnsi="仿宋" w:eastAsia="仿宋" w:cs="Times New Roman"/>
          <w:color w:val="000000"/>
          <w:kern w:val="0"/>
          <w:sz w:val="32"/>
          <w:szCs w:val="32"/>
          <w14:ligatures w14:val="none"/>
        </w:rPr>
        <w:t>。</w:t>
      </w:r>
    </w:p>
    <w:p w14:paraId="71A32E29">
      <w:pPr>
        <w:shd w:val="clear" w:color="auto" w:fill="FFFFFF"/>
        <w:spacing w:line="600" w:lineRule="exact"/>
        <w:ind w:firstLine="643" w:firstLineChars="200"/>
        <w:rPr>
          <w:rFonts w:hint="eastAsia" w:ascii="仿宋" w:hAnsi="仿宋" w:eastAsia="仿宋" w:cs="Times New Roman"/>
          <w:color w:val="000000"/>
          <w:kern w:val="0"/>
          <w:sz w:val="32"/>
          <w:szCs w:val="32"/>
          <w14:ligatures w14:val="none"/>
        </w:rPr>
      </w:pPr>
      <w:r>
        <w:rPr>
          <w:rFonts w:ascii="仿宋" w:hAnsi="仿宋" w:eastAsia="仿宋" w:cs="Times New Roman"/>
          <w:b/>
          <w:color w:val="000000"/>
          <w:kern w:val="0"/>
          <w:sz w:val="32"/>
          <w:szCs w:val="32"/>
          <w14:ligatures w14:val="none"/>
        </w:rPr>
        <w:t xml:space="preserve">第三条  </w:t>
      </w:r>
      <w:r>
        <w:rPr>
          <w:rFonts w:ascii="仿宋" w:hAnsi="仿宋" w:eastAsia="仿宋" w:cs="Times New Roman"/>
          <w:color w:val="000000"/>
          <w:kern w:val="0"/>
          <w:sz w:val="32"/>
          <w:szCs w:val="32"/>
          <w14:ligatures w14:val="none"/>
        </w:rPr>
        <w:t>本办法的评选对象包含应届毕业全日制研究生，不含留学生</w:t>
      </w:r>
      <w:r>
        <w:rPr>
          <w:rFonts w:hint="eastAsia" w:ascii="仿宋" w:hAnsi="仿宋" w:eastAsia="仿宋" w:cs="Times New Roman"/>
          <w:color w:val="000000"/>
          <w:kern w:val="0"/>
          <w:sz w:val="32"/>
          <w:szCs w:val="32"/>
          <w14:ligatures w14:val="none"/>
        </w:rPr>
        <w:t>。</w:t>
      </w:r>
    </w:p>
    <w:p w14:paraId="1C2EBF60">
      <w:pPr>
        <w:shd w:val="clear" w:color="auto" w:fill="FFFFFF"/>
        <w:spacing w:before="315" w:after="315" w:line="600" w:lineRule="exact"/>
        <w:jc w:val="center"/>
        <w:rPr>
          <w:rFonts w:ascii="Times New Roman" w:hAnsi="Times New Roman" w:eastAsia="黑体" w:cs="Times New Roman"/>
          <w:bCs/>
          <w:color w:val="000000"/>
          <w:kern w:val="0"/>
          <w:sz w:val="32"/>
          <w:szCs w:val="32"/>
          <w14:ligatures w14:val="none"/>
        </w:rPr>
      </w:pPr>
      <w:r>
        <w:rPr>
          <w:rFonts w:ascii="Times New Roman" w:hAnsi="Times New Roman" w:eastAsia="黑体" w:cs="Times New Roman"/>
          <w:bCs/>
          <w:color w:val="000000"/>
          <w:kern w:val="0"/>
          <w:sz w:val="32"/>
          <w:szCs w:val="32"/>
          <w14:ligatures w14:val="none"/>
        </w:rPr>
        <w:t>第二章  评选条件和名额</w:t>
      </w:r>
    </w:p>
    <w:p w14:paraId="48708FAE">
      <w:pPr>
        <w:shd w:val="clear" w:color="auto" w:fill="FFFFFF"/>
        <w:spacing w:line="600" w:lineRule="exact"/>
        <w:ind w:firstLine="643" w:firstLineChars="200"/>
        <w:jc w:val="left"/>
        <w:rPr>
          <w:rFonts w:hint="eastAsia" w:ascii="仿宋" w:hAnsi="仿宋" w:eastAsia="仿宋" w:cs="Times New Roman"/>
          <w:color w:val="000000"/>
          <w:kern w:val="0"/>
          <w:sz w:val="32"/>
          <w:szCs w:val="32"/>
          <w14:ligatures w14:val="none"/>
        </w:rPr>
      </w:pPr>
      <w:r>
        <w:rPr>
          <w:rFonts w:ascii="仿宋" w:hAnsi="仿宋" w:eastAsia="仿宋" w:cs="Times New Roman"/>
          <w:b/>
          <w:color w:val="000000"/>
          <w:kern w:val="0"/>
          <w:sz w:val="32"/>
          <w:szCs w:val="32"/>
          <w14:ligatures w14:val="none"/>
        </w:rPr>
        <w:t>第四条</w:t>
      </w:r>
      <w:r>
        <w:rPr>
          <w:rFonts w:ascii="仿宋" w:hAnsi="仿宋" w:eastAsia="仿宋" w:cs="Times New Roman"/>
          <w:color w:val="000000"/>
          <w:kern w:val="0"/>
          <w:sz w:val="32"/>
          <w:szCs w:val="32"/>
          <w14:ligatures w14:val="none"/>
        </w:rPr>
        <w:t xml:space="preserve">  基本条件：</w:t>
      </w:r>
    </w:p>
    <w:p w14:paraId="6413E98A">
      <w:pPr>
        <w:shd w:val="clear" w:color="auto" w:fill="FFFFFF"/>
        <w:spacing w:line="600" w:lineRule="exact"/>
        <w:ind w:firstLine="640" w:firstLineChars="200"/>
        <w:rPr>
          <w:rFonts w:hint="eastAsia" w:ascii="仿宋" w:hAnsi="仿宋" w:eastAsia="仿宋" w:cs="Times New Roman"/>
          <w:color w:val="000000"/>
          <w:kern w:val="0"/>
          <w:sz w:val="32"/>
          <w:szCs w:val="32"/>
          <w14:ligatures w14:val="none"/>
        </w:rPr>
      </w:pPr>
      <w:r>
        <w:rPr>
          <w:rFonts w:hint="eastAsia" w:ascii="仿宋" w:hAnsi="仿宋" w:eastAsia="仿宋" w:cs="Times New Roman"/>
          <w:color w:val="000000"/>
          <w:kern w:val="0"/>
          <w:sz w:val="32"/>
          <w:szCs w:val="32"/>
          <w14:ligatures w14:val="none"/>
        </w:rPr>
        <w:t>（一）德：热爱祖国，坚决拥护中国共产党领导，具有正确坚定的政治方向，遵纪守法，自觉践行社会主义核心价值观，在校期间未受纪律处分，按规定缴纳学费、住宿费等费用；</w:t>
      </w:r>
    </w:p>
    <w:p w14:paraId="70088A54">
      <w:pPr>
        <w:shd w:val="clear" w:color="auto" w:fill="FFFFFF"/>
        <w:spacing w:line="600" w:lineRule="exact"/>
        <w:ind w:firstLine="640" w:firstLineChars="200"/>
        <w:rPr>
          <w:rFonts w:hint="eastAsia" w:ascii="仿宋" w:hAnsi="仿宋" w:eastAsia="仿宋" w:cs="Times New Roman"/>
          <w:color w:val="000000"/>
          <w:kern w:val="0"/>
          <w:sz w:val="32"/>
          <w:szCs w:val="32"/>
          <w14:ligatures w14:val="none"/>
        </w:rPr>
      </w:pPr>
      <w:r>
        <w:rPr>
          <w:rFonts w:hint="eastAsia" w:ascii="仿宋" w:hAnsi="仿宋" w:eastAsia="仿宋" w:cs="Times New Roman"/>
          <w:color w:val="000000"/>
          <w:kern w:val="0"/>
          <w:sz w:val="32"/>
          <w:szCs w:val="32"/>
          <w14:ligatures w14:val="none"/>
        </w:rPr>
        <w:t>（二）智：学习勤奋、成绩优秀，专业能力突出，按时完成规定学业并取得相应的毕业证书和学位证书，恪守学术道德，遵守学术规范，论文送审及答辩成绩为B及以上等级；</w:t>
      </w:r>
    </w:p>
    <w:p w14:paraId="2DE7ED24">
      <w:pPr>
        <w:shd w:val="clear" w:color="auto" w:fill="FFFFFF"/>
        <w:spacing w:line="600" w:lineRule="exact"/>
        <w:ind w:firstLine="640" w:firstLineChars="200"/>
        <w:rPr>
          <w:rFonts w:hint="eastAsia" w:ascii="仿宋" w:hAnsi="仿宋" w:eastAsia="仿宋" w:cs="Times New Roman"/>
          <w:color w:val="000000"/>
          <w:kern w:val="0"/>
          <w:sz w:val="32"/>
          <w:szCs w:val="32"/>
          <w14:ligatures w14:val="none"/>
        </w:rPr>
      </w:pPr>
      <w:r>
        <w:rPr>
          <w:rFonts w:hint="eastAsia" w:ascii="仿宋" w:hAnsi="仿宋" w:eastAsia="仿宋" w:cs="Times New Roman"/>
          <w:color w:val="000000"/>
          <w:kern w:val="0"/>
          <w:sz w:val="32"/>
          <w:szCs w:val="32"/>
          <w14:ligatures w14:val="none"/>
        </w:rPr>
        <w:t>（三）体：身心健康，坚持体育锻炼，积极参与阳光体育活动，健康意识和精神面貌良好；</w:t>
      </w:r>
    </w:p>
    <w:p w14:paraId="6F950380">
      <w:pPr>
        <w:shd w:val="clear" w:color="auto" w:fill="FFFFFF"/>
        <w:spacing w:line="600" w:lineRule="exact"/>
        <w:ind w:firstLine="640" w:firstLineChars="200"/>
        <w:rPr>
          <w:rFonts w:hint="eastAsia" w:ascii="仿宋" w:hAnsi="仿宋" w:eastAsia="仿宋" w:cs="Times New Roman"/>
          <w:color w:val="000000"/>
          <w:kern w:val="0"/>
          <w:sz w:val="32"/>
          <w:szCs w:val="32"/>
          <w14:ligatures w14:val="none"/>
        </w:rPr>
      </w:pPr>
      <w:r>
        <w:rPr>
          <w:rFonts w:hint="eastAsia" w:ascii="仿宋" w:hAnsi="仿宋" w:eastAsia="仿宋" w:cs="Times New Roman"/>
          <w:color w:val="000000"/>
          <w:kern w:val="0"/>
          <w:sz w:val="32"/>
          <w:szCs w:val="32"/>
          <w14:ligatures w14:val="none"/>
        </w:rPr>
        <w:t>（四）美：自觉提高审美能力和人文素养，深入传承和弘扬中华优秀传统文化，积极参与文化艺术活动；</w:t>
      </w:r>
    </w:p>
    <w:p w14:paraId="22D04772">
      <w:pPr>
        <w:shd w:val="clear" w:color="auto" w:fill="FFFFFF"/>
        <w:spacing w:line="600" w:lineRule="exact"/>
        <w:ind w:firstLine="640" w:firstLineChars="200"/>
        <w:rPr>
          <w:rFonts w:hint="eastAsia" w:ascii="仿宋" w:hAnsi="仿宋" w:eastAsia="仿宋" w:cs="Times New Roman"/>
          <w:color w:val="000000"/>
          <w:kern w:val="0"/>
          <w:sz w:val="32"/>
          <w:szCs w:val="32"/>
          <w14:ligatures w14:val="none"/>
        </w:rPr>
      </w:pPr>
      <w:r>
        <w:rPr>
          <w:rFonts w:hint="eastAsia" w:ascii="仿宋" w:hAnsi="仿宋" w:eastAsia="仿宋" w:cs="Times New Roman"/>
          <w:color w:val="000000"/>
          <w:kern w:val="0"/>
          <w:sz w:val="32"/>
          <w:szCs w:val="32"/>
          <w14:ligatures w14:val="none"/>
        </w:rPr>
        <w:t>（五）劳：积极参加社会实践和志愿服务，有较强的实践能力和创新能力，投身学校“双一流”建设，热心为广大同学服务。</w:t>
      </w:r>
    </w:p>
    <w:p w14:paraId="2B51B010">
      <w:pPr>
        <w:shd w:val="clear" w:color="auto" w:fill="FFFFFF"/>
        <w:spacing w:line="600" w:lineRule="exact"/>
        <w:ind w:firstLine="643" w:firstLineChars="200"/>
        <w:rPr>
          <w:rFonts w:hint="eastAsia" w:ascii="仿宋" w:hAnsi="仿宋" w:eastAsia="仿宋"/>
          <w:color w:val="000000"/>
          <w:kern w:val="0"/>
          <w:sz w:val="32"/>
          <w:szCs w:val="32"/>
        </w:rPr>
      </w:pPr>
      <w:r>
        <w:rPr>
          <w:rFonts w:ascii="仿宋" w:hAnsi="仿宋" w:eastAsia="仿宋"/>
          <w:b/>
          <w:color w:val="000000"/>
          <w:kern w:val="0"/>
          <w:sz w:val="32"/>
          <w:szCs w:val="32"/>
        </w:rPr>
        <w:t>第五条</w:t>
      </w:r>
      <w:r>
        <w:rPr>
          <w:rFonts w:ascii="仿宋" w:hAnsi="仿宋" w:eastAsia="仿宋"/>
          <w:color w:val="000000"/>
          <w:kern w:val="0"/>
          <w:sz w:val="32"/>
          <w:szCs w:val="32"/>
        </w:rPr>
        <w:t xml:space="preserve">  </w:t>
      </w:r>
      <w:r>
        <w:rPr>
          <w:rFonts w:hint="eastAsia" w:ascii="仿宋" w:hAnsi="仿宋" w:eastAsia="仿宋"/>
          <w:color w:val="000000"/>
          <w:kern w:val="0"/>
          <w:sz w:val="32"/>
          <w:szCs w:val="32"/>
        </w:rPr>
        <w:t>具体</w:t>
      </w:r>
      <w:r>
        <w:rPr>
          <w:rFonts w:hint="eastAsia" w:ascii="仿宋" w:hAnsi="仿宋" w:eastAsia="仿宋"/>
          <w:kern w:val="0"/>
          <w:sz w:val="32"/>
          <w:szCs w:val="32"/>
        </w:rPr>
        <w:t>评选条件应综合考虑至少满足以下一条</w:t>
      </w:r>
      <w:r>
        <w:rPr>
          <w:rFonts w:ascii="仿宋" w:hAnsi="仿宋" w:eastAsia="仿宋"/>
          <w:color w:val="000000"/>
          <w:kern w:val="0"/>
          <w:sz w:val="32"/>
          <w:szCs w:val="32"/>
        </w:rPr>
        <w:t>：</w:t>
      </w:r>
    </w:p>
    <w:p w14:paraId="35E70729">
      <w:pPr>
        <w:shd w:val="clear" w:color="auto" w:fill="FFFFFF"/>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（一）奖学金方面：在读期间曾获得国家奖学金或研究生一等学业奖学金及以上；</w:t>
      </w:r>
    </w:p>
    <w:p w14:paraId="69150E40">
      <w:pPr>
        <w:shd w:val="clear" w:color="auto" w:fill="FFFFFF"/>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二）学生工作方面：担任校级以上（不含校级）学生干部，或担任学校研究生团委副书记、研究生会主席团，学院研究生团委副书记、党支部副书记等职务，或担任学校研究生团委部长、研究生会部长，学院研究生团总支部长，党支部支委、团支部书记、班长等职务或其他校院学生干部，担任期间表现优秀；</w:t>
      </w:r>
    </w:p>
    <w:p w14:paraId="7DBE7C91">
      <w:pPr>
        <w:shd w:val="clear" w:color="auto" w:fill="FFFFFF"/>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三）竞赛获奖方面：作为项目主要负责人，曾获教育部、团中央、省教育厅、团省委等部门主办的文体竞赛活动省部级以上荣誉，文体竞赛活动名录参照《华南农业大学学生竞赛奖励办法》（华南农办〔2022〕38号）；在校就读期间曾获得校级以上荣誉称号；</w:t>
      </w:r>
    </w:p>
    <w:p w14:paraId="3D1CB93E">
      <w:pPr>
        <w:shd w:val="clear" w:color="auto" w:fill="FFFFFF"/>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四）学术表现方面：在读期间，以第一作者（或者通讯作者，或者导师第一研究生第二）身份在SCI、SSCI、CSSCI或北大中文核心期刊等上发表高水平论文，或以华南农业大学为第一署名单位编写专著，或以华南农业大学为第一署名单位获得科研奖励；</w:t>
      </w:r>
    </w:p>
    <w:p w14:paraId="0DEDFDCC">
      <w:pPr>
        <w:shd w:val="clear" w:color="auto" w:fill="FFFFFF"/>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五）服务奉献方面：在服务乡村振兴、粤港澳大湾区建设、“百县千镇万村高质量发展工程”、绿美广东生态建设等战略中表现突出，获得校级以上荣誉称号；积极就业，响应国家号召应征入伍，献身国防事业，自愿到边远地区、艰苦行业和基层就业创业；积极参与无偿献血、志愿服务等实践活动。</w:t>
      </w:r>
    </w:p>
    <w:p w14:paraId="7E2E43C9">
      <w:pPr>
        <w:shd w:val="clear" w:color="auto" w:fill="FFFFFF"/>
        <w:spacing w:line="600" w:lineRule="exact"/>
        <w:ind w:firstLine="643" w:firstLineChars="200"/>
        <w:rPr>
          <w:rFonts w:hint="eastAsia" w:ascii="仿宋" w:hAnsi="仿宋" w:eastAsia="仿宋"/>
          <w:color w:val="000000"/>
          <w:kern w:val="0"/>
          <w:sz w:val="32"/>
          <w:szCs w:val="32"/>
        </w:rPr>
      </w:pPr>
      <w:r>
        <w:rPr>
          <w:rFonts w:ascii="仿宋" w:hAnsi="仿宋" w:eastAsia="仿宋"/>
          <w:b/>
          <w:color w:val="000000"/>
          <w:kern w:val="0"/>
          <w:sz w:val="32"/>
          <w:szCs w:val="32"/>
        </w:rPr>
        <w:t>第</w:t>
      </w:r>
      <w:r>
        <w:rPr>
          <w:rFonts w:hint="eastAsia" w:ascii="仿宋" w:hAnsi="仿宋" w:eastAsia="仿宋"/>
          <w:b/>
          <w:color w:val="000000"/>
          <w:kern w:val="0"/>
          <w:sz w:val="32"/>
          <w:szCs w:val="32"/>
        </w:rPr>
        <w:t>六</w:t>
      </w:r>
      <w:r>
        <w:rPr>
          <w:rFonts w:ascii="仿宋" w:hAnsi="仿宋" w:eastAsia="仿宋"/>
          <w:b/>
          <w:color w:val="000000"/>
          <w:kern w:val="0"/>
          <w:sz w:val="32"/>
          <w:szCs w:val="32"/>
        </w:rPr>
        <w:t>条</w:t>
      </w:r>
      <w:r>
        <w:rPr>
          <w:rFonts w:ascii="仿宋" w:hAnsi="仿宋" w:eastAsia="仿宋"/>
          <w:color w:val="000000"/>
          <w:kern w:val="0"/>
          <w:sz w:val="32"/>
          <w:szCs w:val="32"/>
        </w:rPr>
        <w:t xml:space="preserve">  推荐推荐优秀毕业</w:t>
      </w:r>
      <w:r>
        <w:rPr>
          <w:rFonts w:hint="eastAsia" w:ascii="仿宋" w:hAnsi="仿宋" w:eastAsia="仿宋"/>
          <w:color w:val="000000"/>
          <w:kern w:val="0"/>
          <w:sz w:val="32"/>
          <w:szCs w:val="32"/>
        </w:rPr>
        <w:t>研究</w:t>
      </w:r>
      <w:r>
        <w:rPr>
          <w:rFonts w:ascii="仿宋" w:hAnsi="仿宋" w:eastAsia="仿宋"/>
          <w:color w:val="000000"/>
          <w:kern w:val="0"/>
          <w:sz w:val="32"/>
          <w:szCs w:val="32"/>
        </w:rPr>
        <w:t>生的比例一般不超过当年毕业</w:t>
      </w:r>
      <w:r>
        <w:rPr>
          <w:rFonts w:hint="eastAsia" w:ascii="仿宋" w:hAnsi="仿宋" w:eastAsia="仿宋"/>
          <w:color w:val="000000"/>
          <w:kern w:val="0"/>
          <w:sz w:val="32"/>
          <w:szCs w:val="32"/>
        </w:rPr>
        <w:t>研究</w:t>
      </w:r>
      <w:r>
        <w:rPr>
          <w:rFonts w:ascii="仿宋" w:hAnsi="仿宋" w:eastAsia="仿宋"/>
          <w:color w:val="000000"/>
          <w:kern w:val="0"/>
          <w:sz w:val="32"/>
          <w:szCs w:val="32"/>
        </w:rPr>
        <w:t>生总人数</w:t>
      </w:r>
      <w:r>
        <w:rPr>
          <w:rFonts w:hint="eastAsia" w:ascii="仿宋" w:hAnsi="仿宋" w:eastAsia="仿宋"/>
          <w:color w:val="000000"/>
          <w:kern w:val="0"/>
          <w:sz w:val="32"/>
          <w:szCs w:val="32"/>
        </w:rPr>
        <w:t>的</w:t>
      </w:r>
      <w:r>
        <w:rPr>
          <w:rFonts w:ascii="仿宋" w:hAnsi="仿宋" w:eastAsia="仿宋"/>
          <w:color w:val="000000"/>
          <w:kern w:val="0"/>
          <w:sz w:val="32"/>
          <w:szCs w:val="32"/>
        </w:rPr>
        <w:t>12%</w:t>
      </w:r>
      <w:r>
        <w:rPr>
          <w:rFonts w:hint="eastAsia" w:ascii="仿宋" w:hAnsi="仿宋" w:eastAsia="仿宋"/>
          <w:color w:val="000000"/>
          <w:kern w:val="0"/>
          <w:sz w:val="32"/>
          <w:szCs w:val="32"/>
        </w:rPr>
        <w:t>，取整推荐</w:t>
      </w:r>
      <w:r>
        <w:rPr>
          <w:rFonts w:ascii="仿宋" w:hAnsi="仿宋" w:eastAsia="仿宋"/>
          <w:color w:val="000000"/>
          <w:kern w:val="0"/>
          <w:sz w:val="32"/>
          <w:szCs w:val="32"/>
        </w:rPr>
        <w:t>。</w:t>
      </w:r>
      <w:r>
        <w:rPr>
          <w:rFonts w:hint="eastAsia" w:ascii="仿宋" w:hAnsi="仿宋" w:eastAsia="仿宋"/>
          <w:color w:val="000000"/>
          <w:kern w:val="0"/>
          <w:sz w:val="32"/>
          <w:szCs w:val="32"/>
        </w:rPr>
        <w:t>学院</w:t>
      </w:r>
      <w:r>
        <w:rPr>
          <w:rFonts w:ascii="仿宋" w:hAnsi="仿宋" w:eastAsia="仿宋"/>
          <w:color w:val="000000"/>
          <w:kern w:val="0"/>
          <w:sz w:val="32"/>
          <w:szCs w:val="32"/>
        </w:rPr>
        <w:t>优秀毕业</w:t>
      </w:r>
      <w:r>
        <w:rPr>
          <w:rFonts w:hint="eastAsia" w:ascii="仿宋" w:hAnsi="仿宋" w:eastAsia="仿宋"/>
          <w:color w:val="000000"/>
          <w:kern w:val="0"/>
          <w:sz w:val="32"/>
          <w:szCs w:val="32"/>
        </w:rPr>
        <w:t>研究</w:t>
      </w:r>
      <w:r>
        <w:rPr>
          <w:rFonts w:ascii="仿宋" w:hAnsi="仿宋" w:eastAsia="仿宋"/>
          <w:color w:val="000000"/>
          <w:kern w:val="0"/>
          <w:sz w:val="32"/>
          <w:szCs w:val="32"/>
        </w:rPr>
        <w:t>生的最终评选名额应当在上述推选名额范围内产生。</w:t>
      </w:r>
    </w:p>
    <w:p w14:paraId="4FEB7D90">
      <w:pPr>
        <w:shd w:val="clear" w:color="auto" w:fill="FFFFFF"/>
        <w:spacing w:before="315" w:after="315" w:line="600" w:lineRule="exact"/>
        <w:jc w:val="center"/>
        <w:rPr>
          <w:rFonts w:ascii="Times New Roman" w:hAnsi="Times New Roman" w:eastAsia="黑体" w:cs="Times New Roman"/>
          <w:bCs/>
          <w:color w:val="000000"/>
          <w:kern w:val="0"/>
          <w:sz w:val="32"/>
          <w:szCs w:val="32"/>
          <w14:ligatures w14:val="none"/>
        </w:rPr>
      </w:pPr>
      <w:r>
        <w:rPr>
          <w:rFonts w:ascii="Times New Roman" w:hAnsi="Times New Roman" w:eastAsia="黑体" w:cs="Times New Roman"/>
          <w:bCs/>
          <w:color w:val="000000"/>
          <w:kern w:val="0"/>
          <w:sz w:val="32"/>
          <w:szCs w:val="32"/>
          <w14:ligatures w14:val="none"/>
        </w:rPr>
        <w:t>第三章</w:t>
      </w:r>
      <w:r>
        <w:rPr>
          <w:rFonts w:hint="eastAsia" w:ascii="Times New Roman" w:hAnsi="Times New Roman" w:eastAsia="黑体" w:cs="Times New Roman"/>
          <w:bCs/>
          <w:color w:val="000000"/>
          <w:kern w:val="0"/>
          <w:sz w:val="32"/>
          <w:szCs w:val="32"/>
          <w14:ligatures w14:val="none"/>
        </w:rPr>
        <w:t xml:space="preserve">  评审组织与评审办法及流程</w:t>
      </w:r>
    </w:p>
    <w:p w14:paraId="183CEDC8">
      <w:pPr>
        <w:shd w:val="clear" w:color="auto" w:fill="FFFFFF"/>
        <w:spacing w:line="600" w:lineRule="exact"/>
        <w:ind w:firstLine="643" w:firstLineChars="200"/>
        <w:rPr>
          <w:rFonts w:hint="eastAsia" w:ascii="仿宋" w:hAnsi="仿宋" w:eastAsia="仿宋"/>
          <w:bCs/>
          <w:color w:val="000000"/>
          <w:kern w:val="0"/>
          <w:sz w:val="32"/>
          <w:szCs w:val="32"/>
        </w:rPr>
      </w:pPr>
      <w:r>
        <w:rPr>
          <w:rFonts w:ascii="仿宋" w:hAnsi="仿宋" w:eastAsia="仿宋"/>
          <w:b/>
          <w:color w:val="000000"/>
          <w:kern w:val="0"/>
          <w:sz w:val="32"/>
          <w:szCs w:val="32"/>
        </w:rPr>
        <w:t>第</w:t>
      </w:r>
      <w:r>
        <w:rPr>
          <w:rFonts w:hint="eastAsia" w:ascii="仿宋" w:hAnsi="仿宋" w:eastAsia="仿宋"/>
          <w:b/>
          <w:color w:val="000000"/>
          <w:kern w:val="0"/>
          <w:sz w:val="32"/>
          <w:szCs w:val="32"/>
        </w:rPr>
        <w:t>七</w:t>
      </w:r>
      <w:r>
        <w:rPr>
          <w:rFonts w:ascii="仿宋" w:hAnsi="仿宋" w:eastAsia="仿宋"/>
          <w:b/>
          <w:color w:val="000000"/>
          <w:kern w:val="0"/>
          <w:sz w:val="32"/>
          <w:szCs w:val="32"/>
        </w:rPr>
        <w:t>条</w:t>
      </w:r>
      <w:r>
        <w:rPr>
          <w:rFonts w:hint="eastAsia" w:ascii="仿宋" w:hAnsi="仿宋" w:eastAsia="仿宋"/>
          <w:bCs/>
          <w:color w:val="000000"/>
          <w:kern w:val="0"/>
          <w:sz w:val="32"/>
          <w:szCs w:val="32"/>
        </w:rPr>
        <w:t xml:space="preserve"> 成立由学院书记、主管研究生工作的副书记和副院长、导师代表、研究生辅导员和研究生代表组成的经济管理学院优秀毕业研究生评审委员会，负责组织和评审工作。</w:t>
      </w:r>
    </w:p>
    <w:p w14:paraId="747ADDC8">
      <w:pPr>
        <w:shd w:val="clear" w:color="auto" w:fill="FFFFFF"/>
        <w:spacing w:line="600" w:lineRule="exact"/>
        <w:ind w:firstLine="643" w:firstLineChars="200"/>
        <w:rPr>
          <w:rFonts w:hint="eastAsia" w:ascii="仿宋" w:hAnsi="仿宋" w:eastAsia="仿宋"/>
          <w:bCs/>
          <w:color w:val="000000"/>
          <w:kern w:val="0"/>
          <w:sz w:val="32"/>
          <w:szCs w:val="32"/>
        </w:rPr>
      </w:pPr>
      <w:r>
        <w:rPr>
          <w:rFonts w:ascii="仿宋" w:hAnsi="仿宋" w:eastAsia="仿宋"/>
          <w:b/>
          <w:color w:val="000000"/>
          <w:kern w:val="0"/>
          <w:sz w:val="32"/>
          <w:szCs w:val="32"/>
        </w:rPr>
        <w:t>第</w:t>
      </w:r>
      <w:r>
        <w:rPr>
          <w:rFonts w:hint="eastAsia" w:ascii="仿宋" w:hAnsi="仿宋" w:eastAsia="仿宋"/>
          <w:b/>
          <w:color w:val="000000"/>
          <w:kern w:val="0"/>
          <w:sz w:val="32"/>
          <w:szCs w:val="32"/>
        </w:rPr>
        <w:t>八</w:t>
      </w:r>
      <w:r>
        <w:rPr>
          <w:rFonts w:ascii="仿宋" w:hAnsi="仿宋" w:eastAsia="仿宋"/>
          <w:b/>
          <w:color w:val="000000"/>
          <w:kern w:val="0"/>
          <w:sz w:val="32"/>
          <w:szCs w:val="32"/>
        </w:rPr>
        <w:t>条</w:t>
      </w:r>
      <w:r>
        <w:rPr>
          <w:rFonts w:hint="eastAsia" w:ascii="仿宋" w:hAnsi="仿宋" w:eastAsia="仿宋"/>
          <w:bCs/>
          <w:color w:val="000000"/>
          <w:kern w:val="0"/>
          <w:sz w:val="32"/>
          <w:szCs w:val="32"/>
        </w:rPr>
        <w:t xml:space="preserve"> 具备申请条件的研究生，根据学校分配的优秀毕业研究生名额，按照经济管理学院优秀毕业研究生评选计分细则（见附件一），累计量化，择优评出优秀毕业研究生获得者。</w:t>
      </w:r>
    </w:p>
    <w:p w14:paraId="289B307A">
      <w:pPr>
        <w:shd w:val="clear" w:color="auto" w:fill="FFFFFF"/>
        <w:spacing w:line="600" w:lineRule="exact"/>
        <w:ind w:firstLine="643" w:firstLineChars="200"/>
        <w:rPr>
          <w:rFonts w:hint="eastAsia" w:ascii="仿宋" w:hAnsi="仿宋" w:eastAsia="仿宋"/>
          <w:color w:val="000000"/>
          <w:kern w:val="0"/>
          <w:sz w:val="32"/>
          <w:szCs w:val="32"/>
        </w:rPr>
      </w:pPr>
      <w:r>
        <w:rPr>
          <w:rFonts w:ascii="仿宋" w:hAnsi="仿宋" w:eastAsia="仿宋"/>
          <w:b/>
          <w:color w:val="000000"/>
          <w:kern w:val="0"/>
          <w:sz w:val="32"/>
          <w:szCs w:val="32"/>
        </w:rPr>
        <w:t>第</w:t>
      </w:r>
      <w:r>
        <w:rPr>
          <w:rFonts w:hint="eastAsia" w:ascii="仿宋" w:hAnsi="仿宋" w:eastAsia="仿宋"/>
          <w:b/>
          <w:color w:val="000000"/>
          <w:kern w:val="0"/>
          <w:sz w:val="32"/>
          <w:szCs w:val="32"/>
        </w:rPr>
        <w:t>九</w:t>
      </w:r>
      <w:r>
        <w:rPr>
          <w:rFonts w:ascii="仿宋" w:hAnsi="仿宋" w:eastAsia="仿宋"/>
          <w:b/>
          <w:color w:val="000000"/>
          <w:kern w:val="0"/>
          <w:sz w:val="32"/>
          <w:szCs w:val="32"/>
        </w:rPr>
        <w:t>条</w:t>
      </w:r>
      <w:r>
        <w:rPr>
          <w:rFonts w:ascii="仿宋" w:hAnsi="仿宋" w:eastAsia="仿宋"/>
          <w:color w:val="000000"/>
          <w:kern w:val="0"/>
          <w:sz w:val="32"/>
          <w:szCs w:val="32"/>
        </w:rPr>
        <w:t xml:space="preserve">  </w:t>
      </w:r>
      <w:r>
        <w:rPr>
          <w:rFonts w:hint="eastAsia" w:ascii="仿宋" w:hAnsi="仿宋" w:eastAsia="仿宋"/>
          <w:color w:val="000000"/>
          <w:kern w:val="0"/>
          <w:sz w:val="32"/>
          <w:szCs w:val="32"/>
        </w:rPr>
        <w:t>优秀毕业研究生评选流程：</w:t>
      </w:r>
    </w:p>
    <w:p w14:paraId="649F84AC">
      <w:pPr>
        <w:shd w:val="clear" w:color="auto" w:fill="FFFFFF"/>
        <w:spacing w:line="600" w:lineRule="exact"/>
        <w:ind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rPr>
        <w:t>（一）发布通知：学院于每学年春季学期发布通知，开展优秀毕业研究生评选工作；</w:t>
      </w:r>
    </w:p>
    <w:p w14:paraId="56B197D8">
      <w:pPr>
        <w:shd w:val="clear" w:color="auto" w:fill="FFFFFF"/>
        <w:spacing w:line="600" w:lineRule="exact"/>
        <w:ind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rPr>
        <w:t>（二）</w:t>
      </w:r>
      <w:r>
        <w:rPr>
          <w:rFonts w:ascii="仿宋" w:hAnsi="仿宋" w:eastAsia="仿宋"/>
          <w:color w:val="000000"/>
          <w:kern w:val="0"/>
          <w:sz w:val="32"/>
          <w:szCs w:val="32"/>
        </w:rPr>
        <w:t>学生申</w:t>
      </w:r>
      <w:r>
        <w:rPr>
          <w:rFonts w:hint="eastAsia" w:ascii="仿宋" w:hAnsi="仿宋" w:eastAsia="仿宋"/>
          <w:color w:val="000000"/>
          <w:kern w:val="0"/>
          <w:sz w:val="32"/>
          <w:szCs w:val="32"/>
        </w:rPr>
        <w:t>请：符合条件的</w:t>
      </w:r>
      <w:r>
        <w:rPr>
          <w:rFonts w:ascii="仿宋" w:hAnsi="仿宋" w:eastAsia="仿宋"/>
          <w:color w:val="000000"/>
          <w:kern w:val="0"/>
          <w:sz w:val="32"/>
          <w:szCs w:val="32"/>
        </w:rPr>
        <w:t>学生根据</w:t>
      </w:r>
      <w:r>
        <w:rPr>
          <w:rFonts w:hint="eastAsia" w:ascii="仿宋" w:hAnsi="仿宋" w:eastAsia="仿宋"/>
          <w:color w:val="000000"/>
          <w:kern w:val="0"/>
          <w:sz w:val="32"/>
          <w:szCs w:val="32"/>
        </w:rPr>
        <w:t>通知要求</w:t>
      </w:r>
      <w:r>
        <w:rPr>
          <w:rFonts w:ascii="仿宋" w:hAnsi="仿宋" w:eastAsia="仿宋"/>
          <w:color w:val="000000"/>
          <w:kern w:val="0"/>
          <w:sz w:val="32"/>
          <w:szCs w:val="32"/>
        </w:rPr>
        <w:t>向学院提出申请</w:t>
      </w:r>
      <w:r>
        <w:rPr>
          <w:rFonts w:hint="eastAsia" w:ascii="仿宋" w:hAnsi="仿宋" w:eastAsia="仿宋"/>
          <w:color w:val="000000"/>
          <w:kern w:val="0"/>
          <w:sz w:val="32"/>
          <w:szCs w:val="32"/>
        </w:rPr>
        <w:t>；</w:t>
      </w:r>
    </w:p>
    <w:p w14:paraId="761B1FBE">
      <w:pPr>
        <w:shd w:val="clear" w:color="auto" w:fill="FFFFFF"/>
        <w:spacing w:line="600" w:lineRule="exact"/>
        <w:ind w:firstLine="640" w:firstLineChars="200"/>
        <w:jc w:val="left"/>
        <w:rPr>
          <w:rFonts w:hint="eastAsia" w:ascii="仿宋" w:hAnsi="仿宋" w:eastAsia="仿宋"/>
          <w:color w:val="000000"/>
          <w:kern w:val="0"/>
          <w:sz w:val="32"/>
          <w:szCs w:val="32"/>
        </w:rPr>
      </w:pPr>
      <w:r>
        <w:rPr>
          <w:rFonts w:hint="eastAsia" w:ascii="仿宋" w:hAnsi="仿宋" w:eastAsia="仿宋"/>
          <w:color w:val="000000"/>
          <w:kern w:val="0"/>
          <w:sz w:val="32"/>
          <w:szCs w:val="32"/>
        </w:rPr>
        <w:t>（三）</w:t>
      </w:r>
      <w:r>
        <w:rPr>
          <w:rFonts w:ascii="仿宋" w:hAnsi="仿宋" w:eastAsia="仿宋"/>
          <w:color w:val="000000"/>
          <w:kern w:val="0"/>
          <w:sz w:val="32"/>
          <w:szCs w:val="32"/>
        </w:rPr>
        <w:t>学院初评</w:t>
      </w:r>
      <w:r>
        <w:rPr>
          <w:rFonts w:hint="eastAsia" w:ascii="仿宋" w:hAnsi="仿宋" w:eastAsia="仿宋"/>
          <w:color w:val="000000"/>
          <w:kern w:val="0"/>
          <w:sz w:val="32"/>
          <w:szCs w:val="32"/>
        </w:rPr>
        <w:t>：</w:t>
      </w:r>
      <w:r>
        <w:rPr>
          <w:rFonts w:ascii="仿宋" w:hAnsi="仿宋" w:eastAsia="仿宋"/>
          <w:color w:val="000000"/>
          <w:kern w:val="0"/>
          <w:sz w:val="32"/>
          <w:szCs w:val="32"/>
        </w:rPr>
        <w:t>学院</w:t>
      </w:r>
      <w:r>
        <w:rPr>
          <w:rFonts w:hint="eastAsia" w:ascii="仿宋" w:hAnsi="仿宋" w:eastAsia="仿宋"/>
          <w:bCs/>
          <w:color w:val="000000"/>
          <w:kern w:val="0"/>
          <w:sz w:val="32"/>
          <w:szCs w:val="32"/>
        </w:rPr>
        <w:t>优秀毕业研究生评审委员会</w:t>
      </w:r>
      <w:r>
        <w:rPr>
          <w:rFonts w:ascii="仿宋" w:hAnsi="仿宋" w:eastAsia="仿宋"/>
          <w:color w:val="000000"/>
          <w:kern w:val="0"/>
          <w:sz w:val="32"/>
          <w:szCs w:val="32"/>
        </w:rPr>
        <w:t>对学生提交的材料进行初步评审</w:t>
      </w:r>
      <w:r>
        <w:rPr>
          <w:rFonts w:hint="eastAsia" w:ascii="仿宋" w:hAnsi="仿宋" w:eastAsia="仿宋"/>
          <w:color w:val="000000"/>
          <w:kern w:val="0"/>
          <w:sz w:val="32"/>
          <w:szCs w:val="32"/>
        </w:rPr>
        <w:t>及审核</w:t>
      </w:r>
      <w:r>
        <w:rPr>
          <w:rFonts w:ascii="仿宋" w:hAnsi="仿宋" w:eastAsia="仿宋"/>
          <w:color w:val="000000"/>
          <w:kern w:val="0"/>
          <w:sz w:val="32"/>
          <w:szCs w:val="32"/>
        </w:rPr>
        <w:t>，形成优秀毕业生推荐名单，在本学院公示3个工作日</w:t>
      </w:r>
      <w:r>
        <w:rPr>
          <w:rFonts w:hint="eastAsia" w:ascii="仿宋" w:hAnsi="仿宋" w:eastAsia="仿宋"/>
          <w:color w:val="000000"/>
          <w:kern w:val="0"/>
          <w:sz w:val="32"/>
          <w:szCs w:val="32"/>
        </w:rPr>
        <w:t>，</w:t>
      </w:r>
      <w:r>
        <w:rPr>
          <w:rFonts w:ascii="仿宋" w:hAnsi="仿宋" w:eastAsia="仿宋"/>
          <w:color w:val="000000"/>
          <w:kern w:val="0"/>
          <w:sz w:val="32"/>
          <w:szCs w:val="32"/>
        </w:rPr>
        <w:t>无异议后，</w:t>
      </w:r>
      <w:r>
        <w:rPr>
          <w:rFonts w:hint="eastAsia" w:ascii="仿宋" w:hAnsi="仿宋" w:eastAsia="仿宋"/>
          <w:color w:val="000000"/>
          <w:kern w:val="0"/>
          <w:sz w:val="32"/>
          <w:szCs w:val="32"/>
        </w:rPr>
        <w:t>将有关材料</w:t>
      </w:r>
      <w:r>
        <w:rPr>
          <w:rFonts w:ascii="仿宋" w:hAnsi="仿宋" w:eastAsia="仿宋"/>
          <w:color w:val="000000"/>
          <w:kern w:val="0"/>
          <w:sz w:val="32"/>
          <w:szCs w:val="32"/>
        </w:rPr>
        <w:t>提交</w:t>
      </w:r>
      <w:r>
        <w:rPr>
          <w:rFonts w:hint="eastAsia" w:ascii="仿宋" w:hAnsi="仿宋" w:eastAsia="仿宋"/>
          <w:color w:val="000000"/>
          <w:kern w:val="0"/>
          <w:sz w:val="32"/>
          <w:szCs w:val="32"/>
        </w:rPr>
        <w:t>学校</w:t>
      </w:r>
      <w:r>
        <w:rPr>
          <w:rFonts w:ascii="仿宋" w:hAnsi="仿宋" w:eastAsia="仿宋"/>
          <w:color w:val="000000"/>
          <w:kern w:val="0"/>
          <w:sz w:val="32"/>
          <w:szCs w:val="32"/>
        </w:rPr>
        <w:t>审核</w:t>
      </w:r>
      <w:r>
        <w:rPr>
          <w:rFonts w:hint="eastAsia" w:ascii="仿宋" w:hAnsi="仿宋" w:eastAsia="仿宋"/>
          <w:color w:val="000000"/>
          <w:kern w:val="0"/>
          <w:sz w:val="32"/>
          <w:szCs w:val="32"/>
        </w:rPr>
        <w:t>；</w:t>
      </w:r>
    </w:p>
    <w:p w14:paraId="099DB9E8">
      <w:pPr>
        <w:shd w:val="clear" w:color="auto" w:fill="FFFFFF"/>
        <w:spacing w:line="600" w:lineRule="exact"/>
        <w:ind w:firstLine="640" w:firstLineChars="200"/>
        <w:jc w:val="left"/>
        <w:rPr>
          <w:rFonts w:hint="eastAsia" w:ascii="仿宋" w:hAnsi="仿宋" w:eastAsia="仿宋"/>
          <w:color w:val="000000"/>
          <w:kern w:val="0"/>
          <w:sz w:val="32"/>
          <w:szCs w:val="32"/>
        </w:rPr>
      </w:pPr>
      <w:r>
        <w:rPr>
          <w:rFonts w:hint="eastAsia" w:ascii="仿宋" w:hAnsi="仿宋" w:eastAsia="仿宋"/>
          <w:color w:val="000000"/>
          <w:kern w:val="0"/>
          <w:sz w:val="32"/>
          <w:szCs w:val="32"/>
        </w:rPr>
        <w:t>（四）</w:t>
      </w:r>
      <w:r>
        <w:rPr>
          <w:rFonts w:ascii="仿宋" w:hAnsi="仿宋" w:eastAsia="仿宋"/>
          <w:color w:val="000000"/>
          <w:kern w:val="0"/>
          <w:sz w:val="32"/>
          <w:szCs w:val="32"/>
        </w:rPr>
        <w:t>学校评审</w:t>
      </w:r>
      <w:r>
        <w:rPr>
          <w:rFonts w:hint="eastAsia" w:ascii="仿宋" w:hAnsi="仿宋" w:eastAsia="仿宋"/>
          <w:color w:val="000000"/>
          <w:kern w:val="0"/>
          <w:sz w:val="32"/>
          <w:szCs w:val="32"/>
        </w:rPr>
        <w:t>：</w:t>
      </w:r>
      <w:r>
        <w:rPr>
          <w:rFonts w:ascii="仿宋" w:hAnsi="仿宋" w:eastAsia="仿宋"/>
          <w:color w:val="000000"/>
          <w:kern w:val="0"/>
          <w:sz w:val="32"/>
          <w:szCs w:val="32"/>
        </w:rPr>
        <w:t>党委学生工作部（党委研究生工作部）按要求对学院报送材料进行</w:t>
      </w:r>
      <w:r>
        <w:rPr>
          <w:rFonts w:hint="eastAsia" w:ascii="仿宋" w:hAnsi="仿宋" w:eastAsia="仿宋"/>
          <w:color w:val="000000"/>
          <w:kern w:val="0"/>
          <w:sz w:val="32"/>
          <w:szCs w:val="32"/>
        </w:rPr>
        <w:t>复</w:t>
      </w:r>
      <w:r>
        <w:rPr>
          <w:rFonts w:ascii="仿宋" w:hAnsi="仿宋" w:eastAsia="仿宋"/>
          <w:color w:val="000000"/>
          <w:kern w:val="0"/>
          <w:sz w:val="32"/>
          <w:szCs w:val="32"/>
        </w:rPr>
        <w:t>核，</w:t>
      </w:r>
      <w:r>
        <w:rPr>
          <w:rFonts w:hint="eastAsia" w:ascii="仿宋" w:hAnsi="仿宋" w:eastAsia="仿宋"/>
          <w:color w:val="000000"/>
          <w:kern w:val="0"/>
          <w:sz w:val="32"/>
          <w:szCs w:val="32"/>
        </w:rPr>
        <w:t>将复核通过材料</w:t>
      </w:r>
      <w:r>
        <w:rPr>
          <w:rFonts w:ascii="仿宋" w:hAnsi="仿宋" w:eastAsia="仿宋"/>
          <w:color w:val="000000"/>
          <w:kern w:val="0"/>
          <w:sz w:val="32"/>
          <w:szCs w:val="32"/>
        </w:rPr>
        <w:t>提交学校奖助学工作评审领导小组研究审定，形成优秀毕业生拟获奖名单，在全校公示5个工作日</w:t>
      </w:r>
      <w:r>
        <w:rPr>
          <w:rFonts w:hint="eastAsia" w:ascii="仿宋" w:hAnsi="仿宋" w:eastAsia="仿宋"/>
          <w:color w:val="000000"/>
          <w:kern w:val="0"/>
          <w:sz w:val="32"/>
          <w:szCs w:val="32"/>
        </w:rPr>
        <w:t>，</w:t>
      </w:r>
      <w:r>
        <w:rPr>
          <w:rFonts w:ascii="仿宋" w:hAnsi="仿宋" w:eastAsia="仿宋"/>
          <w:color w:val="000000"/>
          <w:kern w:val="0"/>
          <w:sz w:val="32"/>
          <w:szCs w:val="32"/>
        </w:rPr>
        <w:t>无异议后，学校发文</w:t>
      </w:r>
      <w:r>
        <w:rPr>
          <w:rFonts w:hint="eastAsia" w:ascii="仿宋" w:hAnsi="仿宋" w:eastAsia="仿宋"/>
          <w:color w:val="000000"/>
          <w:kern w:val="0"/>
          <w:sz w:val="32"/>
          <w:szCs w:val="32"/>
        </w:rPr>
        <w:t>及表彰</w:t>
      </w:r>
      <w:r>
        <w:rPr>
          <w:rFonts w:ascii="仿宋" w:hAnsi="仿宋" w:eastAsia="仿宋"/>
          <w:color w:val="000000"/>
          <w:kern w:val="0"/>
          <w:sz w:val="32"/>
          <w:szCs w:val="32"/>
        </w:rPr>
        <w:t>。</w:t>
      </w:r>
    </w:p>
    <w:p w14:paraId="02F1B2C1">
      <w:pPr>
        <w:shd w:val="clear" w:color="auto" w:fill="FFFFFF"/>
        <w:spacing w:line="600" w:lineRule="exact"/>
        <w:ind w:firstLine="643" w:firstLineChars="200"/>
        <w:rPr>
          <w:rFonts w:hint="eastAsia" w:ascii="仿宋" w:hAnsi="仿宋" w:eastAsia="仿宋"/>
          <w:color w:val="000000"/>
          <w:kern w:val="0"/>
          <w:sz w:val="32"/>
          <w:szCs w:val="32"/>
        </w:rPr>
      </w:pPr>
      <w:r>
        <w:rPr>
          <w:rFonts w:ascii="仿宋" w:hAnsi="仿宋" w:eastAsia="仿宋"/>
          <w:b/>
          <w:color w:val="000000"/>
          <w:kern w:val="0"/>
          <w:sz w:val="32"/>
          <w:szCs w:val="32"/>
        </w:rPr>
        <w:t>第</w:t>
      </w:r>
      <w:r>
        <w:rPr>
          <w:rFonts w:hint="eastAsia" w:ascii="仿宋" w:hAnsi="仿宋" w:eastAsia="仿宋"/>
          <w:b/>
          <w:color w:val="000000"/>
          <w:kern w:val="0"/>
          <w:sz w:val="32"/>
          <w:szCs w:val="32"/>
        </w:rPr>
        <w:t>十</w:t>
      </w:r>
      <w:r>
        <w:rPr>
          <w:rFonts w:ascii="仿宋" w:hAnsi="仿宋" w:eastAsia="仿宋"/>
          <w:b/>
          <w:color w:val="000000"/>
          <w:kern w:val="0"/>
          <w:sz w:val="32"/>
          <w:szCs w:val="32"/>
        </w:rPr>
        <w:t>条</w:t>
      </w:r>
      <w:r>
        <w:rPr>
          <w:rFonts w:ascii="仿宋" w:hAnsi="仿宋" w:eastAsia="仿宋"/>
          <w:color w:val="000000"/>
          <w:kern w:val="0"/>
          <w:sz w:val="32"/>
          <w:szCs w:val="32"/>
        </w:rPr>
        <w:t xml:space="preserve">  对评审结果有异议者，可在学院或学校公示期间，向相应的奖助学工作评审小组提出意见，相关评审小组应在接到意见后3个工作日内作出答复。</w:t>
      </w:r>
    </w:p>
    <w:p w14:paraId="0D6355CE">
      <w:pPr>
        <w:shd w:val="clear" w:color="auto" w:fill="FFFFFF"/>
        <w:spacing w:line="600" w:lineRule="exact"/>
        <w:ind w:firstLine="643" w:firstLineChars="200"/>
        <w:jc w:val="left"/>
        <w:rPr>
          <w:rFonts w:hint="eastAsia" w:ascii="仿宋" w:hAnsi="仿宋" w:eastAsia="仿宋"/>
          <w:color w:val="000000"/>
          <w:kern w:val="0"/>
          <w:sz w:val="32"/>
          <w:szCs w:val="32"/>
        </w:rPr>
      </w:pPr>
      <w:r>
        <w:rPr>
          <w:rFonts w:ascii="仿宋" w:hAnsi="仿宋" w:eastAsia="仿宋"/>
          <w:b/>
          <w:color w:val="000000"/>
          <w:kern w:val="0"/>
          <w:sz w:val="32"/>
          <w:szCs w:val="32"/>
        </w:rPr>
        <w:t>第十</w:t>
      </w:r>
      <w:r>
        <w:rPr>
          <w:rFonts w:hint="eastAsia" w:ascii="仿宋" w:hAnsi="仿宋" w:eastAsia="仿宋"/>
          <w:b/>
          <w:color w:val="000000"/>
          <w:kern w:val="0"/>
          <w:sz w:val="32"/>
          <w:szCs w:val="32"/>
        </w:rPr>
        <w:t>一</w:t>
      </w:r>
      <w:r>
        <w:rPr>
          <w:rFonts w:ascii="仿宋" w:hAnsi="仿宋" w:eastAsia="仿宋"/>
          <w:b/>
          <w:color w:val="000000"/>
          <w:kern w:val="0"/>
          <w:sz w:val="32"/>
          <w:szCs w:val="32"/>
        </w:rPr>
        <w:t>条</w:t>
      </w:r>
      <w:r>
        <w:rPr>
          <w:rFonts w:ascii="仿宋" w:hAnsi="仿宋" w:eastAsia="仿宋"/>
          <w:color w:val="000000"/>
          <w:kern w:val="0"/>
          <w:sz w:val="32"/>
          <w:szCs w:val="32"/>
        </w:rPr>
        <w:t xml:space="preserve">  已被评选为优秀毕业</w:t>
      </w:r>
      <w:r>
        <w:rPr>
          <w:rFonts w:hint="eastAsia" w:ascii="仿宋" w:hAnsi="仿宋" w:eastAsia="仿宋"/>
          <w:color w:val="000000"/>
          <w:kern w:val="0"/>
          <w:sz w:val="32"/>
          <w:szCs w:val="32"/>
        </w:rPr>
        <w:t>研究</w:t>
      </w:r>
      <w:r>
        <w:rPr>
          <w:rFonts w:ascii="仿宋" w:hAnsi="仿宋" w:eastAsia="仿宋"/>
          <w:color w:val="000000"/>
          <w:kern w:val="0"/>
          <w:sz w:val="32"/>
          <w:szCs w:val="32"/>
        </w:rPr>
        <w:t>生的学生，有下列情况之一者，取消其优秀毕业生的称号</w:t>
      </w:r>
      <w:r>
        <w:rPr>
          <w:rFonts w:hint="eastAsia" w:ascii="仿宋" w:hAnsi="仿宋" w:eastAsia="仿宋"/>
          <w:color w:val="000000"/>
          <w:kern w:val="0"/>
          <w:sz w:val="32"/>
          <w:szCs w:val="32"/>
        </w:rPr>
        <w:t>，</w:t>
      </w:r>
      <w:r>
        <w:rPr>
          <w:rFonts w:ascii="仿宋" w:hAnsi="仿宋" w:eastAsia="仿宋"/>
          <w:color w:val="000000"/>
          <w:kern w:val="0"/>
          <w:sz w:val="32"/>
          <w:szCs w:val="32"/>
        </w:rPr>
        <w:t>并根据</w:t>
      </w:r>
      <w:r>
        <w:rPr>
          <w:rFonts w:hint="eastAsia" w:ascii="仿宋" w:hAnsi="仿宋" w:eastAsia="仿宋"/>
          <w:color w:val="000000"/>
          <w:kern w:val="0"/>
          <w:sz w:val="32"/>
          <w:szCs w:val="32"/>
        </w:rPr>
        <w:t>有关规定给予</w:t>
      </w:r>
      <w:r>
        <w:rPr>
          <w:rFonts w:ascii="仿宋" w:hAnsi="仿宋" w:eastAsia="仿宋"/>
          <w:color w:val="000000"/>
          <w:kern w:val="0"/>
          <w:sz w:val="32"/>
          <w:szCs w:val="32"/>
        </w:rPr>
        <w:t>处分：</w:t>
      </w:r>
    </w:p>
    <w:p w14:paraId="36DF8273">
      <w:pPr>
        <w:shd w:val="clear" w:color="auto" w:fill="FFFFFF"/>
        <w:spacing w:line="600" w:lineRule="exact"/>
        <w:ind w:firstLine="640" w:firstLineChars="200"/>
        <w:jc w:val="left"/>
        <w:rPr>
          <w:rFonts w:hint="eastAsia" w:ascii="仿宋" w:hAnsi="仿宋" w:eastAsia="仿宋"/>
          <w:color w:val="000000"/>
          <w:kern w:val="0"/>
          <w:sz w:val="32"/>
          <w:szCs w:val="32"/>
        </w:rPr>
      </w:pPr>
      <w:r>
        <w:rPr>
          <w:rFonts w:ascii="仿宋" w:hAnsi="仿宋" w:eastAsia="仿宋"/>
          <w:color w:val="000000"/>
          <w:kern w:val="0"/>
          <w:sz w:val="32"/>
          <w:szCs w:val="32"/>
        </w:rPr>
        <w:t>（一）在评选中提供虚假信息者；</w:t>
      </w:r>
    </w:p>
    <w:p w14:paraId="379C529D">
      <w:pPr>
        <w:shd w:val="clear" w:color="auto" w:fill="FFFFFF"/>
        <w:spacing w:line="600" w:lineRule="exact"/>
        <w:ind w:firstLine="640" w:firstLineChars="200"/>
        <w:jc w:val="left"/>
        <w:rPr>
          <w:rFonts w:hint="eastAsia" w:ascii="仿宋" w:hAnsi="仿宋" w:eastAsia="仿宋"/>
          <w:color w:val="000000"/>
          <w:kern w:val="0"/>
          <w:sz w:val="32"/>
          <w:szCs w:val="32"/>
        </w:rPr>
      </w:pPr>
      <w:r>
        <w:rPr>
          <w:rFonts w:ascii="仿宋" w:hAnsi="仿宋" w:eastAsia="仿宋"/>
          <w:color w:val="000000"/>
          <w:kern w:val="0"/>
          <w:sz w:val="32"/>
          <w:szCs w:val="32"/>
        </w:rPr>
        <w:t>（二）毕业离校前有违法</w:t>
      </w:r>
      <w:r>
        <w:rPr>
          <w:rFonts w:hint="eastAsia" w:ascii="仿宋" w:hAnsi="仿宋" w:eastAsia="仿宋"/>
          <w:color w:val="000000"/>
          <w:kern w:val="0"/>
          <w:sz w:val="32"/>
          <w:szCs w:val="32"/>
        </w:rPr>
        <w:t>、</w:t>
      </w:r>
      <w:r>
        <w:rPr>
          <w:rFonts w:ascii="仿宋" w:hAnsi="仿宋" w:eastAsia="仿宋"/>
          <w:color w:val="000000"/>
          <w:kern w:val="0"/>
          <w:sz w:val="32"/>
          <w:szCs w:val="32"/>
        </w:rPr>
        <w:t>违纪</w:t>
      </w:r>
      <w:r>
        <w:rPr>
          <w:rFonts w:hint="eastAsia" w:ascii="仿宋" w:hAnsi="仿宋" w:eastAsia="仿宋"/>
          <w:color w:val="000000"/>
          <w:kern w:val="0"/>
          <w:sz w:val="32"/>
          <w:szCs w:val="32"/>
        </w:rPr>
        <w:t>行为</w:t>
      </w:r>
      <w:r>
        <w:rPr>
          <w:rFonts w:ascii="仿宋" w:hAnsi="仿宋" w:eastAsia="仿宋"/>
          <w:color w:val="000000"/>
          <w:kern w:val="0"/>
          <w:sz w:val="32"/>
          <w:szCs w:val="32"/>
        </w:rPr>
        <w:t xml:space="preserve">或学术不端者； </w:t>
      </w:r>
    </w:p>
    <w:p w14:paraId="031A2CE7">
      <w:pPr>
        <w:shd w:val="clear" w:color="auto" w:fill="FFFFFF"/>
        <w:spacing w:line="600" w:lineRule="exact"/>
        <w:ind w:firstLine="640" w:firstLineChars="200"/>
        <w:jc w:val="left"/>
        <w:rPr>
          <w:rFonts w:hint="eastAsia" w:ascii="仿宋" w:hAnsi="仿宋" w:eastAsia="仿宋"/>
          <w:color w:val="000000"/>
          <w:kern w:val="0"/>
          <w:sz w:val="32"/>
          <w:szCs w:val="32"/>
        </w:rPr>
      </w:pPr>
      <w:r>
        <w:rPr>
          <w:rFonts w:ascii="仿宋" w:hAnsi="仿宋" w:eastAsia="仿宋"/>
          <w:color w:val="000000"/>
          <w:kern w:val="0"/>
          <w:sz w:val="32"/>
          <w:szCs w:val="32"/>
        </w:rPr>
        <w:t>（三）</w:t>
      </w:r>
      <w:r>
        <w:rPr>
          <w:rFonts w:hint="eastAsia" w:ascii="仿宋" w:hAnsi="仿宋" w:eastAsia="仿宋"/>
          <w:color w:val="000000"/>
          <w:kern w:val="0"/>
          <w:sz w:val="32"/>
          <w:szCs w:val="32"/>
        </w:rPr>
        <w:t>其他应当取消参评资格或荣誉称号的情形。</w:t>
      </w:r>
    </w:p>
    <w:p w14:paraId="1E39418F">
      <w:pPr>
        <w:shd w:val="clear" w:color="auto" w:fill="FFFFFF"/>
        <w:spacing w:before="315" w:after="315" w:line="600" w:lineRule="exact"/>
        <w:jc w:val="center"/>
        <w:rPr>
          <w:rFonts w:ascii="Times New Roman" w:hAnsi="Times New Roman" w:eastAsia="黑体" w:cs="Times New Roman"/>
          <w:bCs/>
          <w:color w:val="000000"/>
          <w:kern w:val="0"/>
          <w:sz w:val="32"/>
          <w:szCs w:val="32"/>
          <w14:ligatures w14:val="none"/>
        </w:rPr>
      </w:pPr>
      <w:r>
        <w:rPr>
          <w:rFonts w:ascii="Times New Roman" w:hAnsi="Times New Roman" w:eastAsia="黑体" w:cs="Times New Roman"/>
          <w:bCs/>
          <w:color w:val="000000"/>
          <w:kern w:val="0"/>
          <w:sz w:val="32"/>
          <w:szCs w:val="32"/>
          <w14:ligatures w14:val="none"/>
        </w:rPr>
        <w:t>第</w:t>
      </w:r>
      <w:r>
        <w:rPr>
          <w:rFonts w:hint="eastAsia" w:ascii="Times New Roman" w:hAnsi="Times New Roman" w:eastAsia="黑体" w:cs="Times New Roman"/>
          <w:bCs/>
          <w:color w:val="000000"/>
          <w:kern w:val="0"/>
          <w:sz w:val="32"/>
          <w:szCs w:val="32"/>
          <w14:ligatures w14:val="none"/>
        </w:rPr>
        <w:t>四</w:t>
      </w:r>
      <w:r>
        <w:rPr>
          <w:rFonts w:ascii="Times New Roman" w:hAnsi="Times New Roman" w:eastAsia="黑体" w:cs="Times New Roman"/>
          <w:bCs/>
          <w:color w:val="000000"/>
          <w:kern w:val="0"/>
          <w:sz w:val="32"/>
          <w:szCs w:val="32"/>
          <w14:ligatures w14:val="none"/>
        </w:rPr>
        <w:t>章</w:t>
      </w:r>
      <w:r>
        <w:rPr>
          <w:rFonts w:hint="eastAsia" w:ascii="Times New Roman" w:hAnsi="Times New Roman" w:eastAsia="黑体" w:cs="Times New Roman"/>
          <w:bCs/>
          <w:color w:val="000000"/>
          <w:kern w:val="0"/>
          <w:sz w:val="32"/>
          <w:szCs w:val="32"/>
          <w14:ligatures w14:val="none"/>
        </w:rPr>
        <w:t xml:space="preserve">  附则</w:t>
      </w:r>
    </w:p>
    <w:p w14:paraId="1594C1CD">
      <w:pPr>
        <w:shd w:val="clear" w:color="auto" w:fill="FFFFFF"/>
        <w:spacing w:line="600" w:lineRule="exact"/>
        <w:ind w:firstLine="643" w:firstLineChars="200"/>
        <w:jc w:val="left"/>
        <w:rPr>
          <w:rFonts w:hint="eastAsia" w:ascii="仿宋" w:hAnsi="仿宋" w:eastAsia="仿宋"/>
          <w:color w:val="000000"/>
          <w:kern w:val="0"/>
          <w:sz w:val="32"/>
          <w:szCs w:val="32"/>
        </w:rPr>
      </w:pPr>
      <w:r>
        <w:rPr>
          <w:rFonts w:ascii="仿宋" w:hAnsi="仿宋" w:eastAsia="仿宋"/>
          <w:b/>
          <w:bCs/>
          <w:color w:val="000000"/>
          <w:kern w:val="0"/>
          <w:sz w:val="32"/>
          <w:szCs w:val="32"/>
        </w:rPr>
        <w:t>第十</w:t>
      </w:r>
      <w:r>
        <w:rPr>
          <w:rFonts w:hint="eastAsia" w:ascii="仿宋" w:hAnsi="仿宋" w:eastAsia="仿宋"/>
          <w:b/>
          <w:bCs/>
          <w:color w:val="000000"/>
          <w:kern w:val="0"/>
          <w:sz w:val="32"/>
          <w:szCs w:val="32"/>
        </w:rPr>
        <w:t>二</w:t>
      </w:r>
      <w:r>
        <w:rPr>
          <w:rFonts w:ascii="仿宋" w:hAnsi="仿宋" w:eastAsia="仿宋"/>
          <w:b/>
          <w:bCs/>
          <w:color w:val="000000"/>
          <w:kern w:val="0"/>
          <w:sz w:val="32"/>
          <w:szCs w:val="32"/>
        </w:rPr>
        <w:t>条</w:t>
      </w:r>
      <w:r>
        <w:rPr>
          <w:rFonts w:hint="eastAsia" w:ascii="仿宋" w:hAnsi="仿宋" w:eastAsia="仿宋"/>
          <w:color w:val="000000"/>
          <w:kern w:val="0"/>
          <w:sz w:val="32"/>
          <w:szCs w:val="32"/>
        </w:rPr>
        <w:t xml:space="preserve">  本办法由经济管理学院优秀毕业研究生评审委员会负责解释。</w:t>
      </w:r>
    </w:p>
    <w:p w14:paraId="06DB9E75">
      <w:pPr>
        <w:shd w:val="clear" w:color="auto" w:fill="FFFFFF"/>
        <w:spacing w:line="600" w:lineRule="exact"/>
        <w:ind w:firstLine="643" w:firstLineChars="200"/>
        <w:jc w:val="left"/>
        <w:rPr>
          <w:rFonts w:hint="eastAsia" w:ascii="仿宋" w:hAnsi="仿宋" w:eastAsia="仿宋"/>
          <w:color w:val="000000"/>
          <w:kern w:val="0"/>
          <w:sz w:val="32"/>
          <w:szCs w:val="32"/>
        </w:rPr>
      </w:pPr>
      <w:r>
        <w:rPr>
          <w:rFonts w:ascii="仿宋" w:hAnsi="仿宋" w:eastAsia="仿宋"/>
          <w:b/>
          <w:bCs/>
          <w:color w:val="000000"/>
          <w:kern w:val="0"/>
          <w:sz w:val="32"/>
          <w:szCs w:val="32"/>
        </w:rPr>
        <w:t>第十</w:t>
      </w:r>
      <w:r>
        <w:rPr>
          <w:rFonts w:hint="eastAsia" w:ascii="仿宋" w:hAnsi="仿宋" w:eastAsia="仿宋"/>
          <w:b/>
          <w:bCs/>
          <w:color w:val="000000"/>
          <w:kern w:val="0"/>
          <w:sz w:val="32"/>
          <w:szCs w:val="32"/>
        </w:rPr>
        <w:t>三</w:t>
      </w:r>
      <w:r>
        <w:rPr>
          <w:rFonts w:ascii="仿宋" w:hAnsi="仿宋" w:eastAsia="仿宋"/>
          <w:b/>
          <w:bCs/>
          <w:color w:val="000000"/>
          <w:kern w:val="0"/>
          <w:sz w:val="32"/>
          <w:szCs w:val="32"/>
        </w:rPr>
        <w:t>条</w:t>
      </w:r>
      <w:r>
        <w:rPr>
          <w:rFonts w:hint="eastAsia" w:ascii="仿宋" w:hAnsi="仿宋" w:eastAsia="仿宋"/>
          <w:color w:val="000000"/>
          <w:kern w:val="0"/>
          <w:sz w:val="32"/>
          <w:szCs w:val="32"/>
        </w:rPr>
        <w:t xml:space="preserve">  本办法与学校文件有不符的，以学校文件为准。</w:t>
      </w:r>
    </w:p>
    <w:p w14:paraId="325A9ED5">
      <w:pPr>
        <w:shd w:val="clear" w:color="auto" w:fill="FFFFFF"/>
        <w:spacing w:line="600" w:lineRule="exact"/>
        <w:ind w:firstLine="643" w:firstLineChars="200"/>
        <w:jc w:val="left"/>
        <w:rPr>
          <w:rFonts w:hint="eastAsia" w:ascii="仿宋" w:hAnsi="仿宋" w:eastAsia="仿宋"/>
          <w:color w:val="000000"/>
          <w:kern w:val="0"/>
          <w:sz w:val="32"/>
          <w:szCs w:val="32"/>
        </w:rPr>
      </w:pPr>
      <w:r>
        <w:rPr>
          <w:rFonts w:ascii="仿宋" w:hAnsi="仿宋" w:eastAsia="仿宋"/>
          <w:b/>
          <w:bCs/>
          <w:color w:val="000000"/>
          <w:kern w:val="0"/>
          <w:sz w:val="32"/>
          <w:szCs w:val="32"/>
        </w:rPr>
        <w:t>第十</w:t>
      </w:r>
      <w:r>
        <w:rPr>
          <w:rFonts w:hint="eastAsia" w:ascii="仿宋" w:hAnsi="仿宋" w:eastAsia="仿宋"/>
          <w:b/>
          <w:bCs/>
          <w:color w:val="000000"/>
          <w:kern w:val="0"/>
          <w:sz w:val="32"/>
          <w:szCs w:val="32"/>
        </w:rPr>
        <w:t>四</w:t>
      </w:r>
      <w:r>
        <w:rPr>
          <w:rFonts w:ascii="仿宋" w:hAnsi="仿宋" w:eastAsia="仿宋"/>
          <w:b/>
          <w:bCs/>
          <w:color w:val="000000"/>
          <w:kern w:val="0"/>
          <w:sz w:val="32"/>
          <w:szCs w:val="32"/>
        </w:rPr>
        <w:t>条</w:t>
      </w:r>
      <w:r>
        <w:rPr>
          <w:rFonts w:hint="eastAsia" w:ascii="仿宋" w:hAnsi="仿宋" w:eastAsia="仿宋"/>
          <w:color w:val="000000"/>
          <w:kern w:val="0"/>
          <w:sz w:val="32"/>
          <w:szCs w:val="32"/>
        </w:rPr>
        <w:t xml:space="preserve">  本办法自公布之日起实施。</w:t>
      </w:r>
    </w:p>
    <w:p w14:paraId="598C3149">
      <w:pPr>
        <w:shd w:val="clear" w:color="auto" w:fill="FFFFFF"/>
        <w:spacing w:line="600" w:lineRule="exact"/>
        <w:ind w:firstLine="640" w:firstLineChars="200"/>
        <w:jc w:val="left"/>
        <w:rPr>
          <w:rFonts w:hint="eastAsia" w:ascii="仿宋" w:hAnsi="仿宋" w:eastAsia="仿宋"/>
          <w:color w:val="000000"/>
          <w:kern w:val="0"/>
          <w:sz w:val="32"/>
          <w:szCs w:val="32"/>
        </w:rPr>
      </w:pPr>
    </w:p>
    <w:p w14:paraId="724BAA8A">
      <w:pPr>
        <w:widowControl/>
        <w:shd w:val="clear" w:color="auto" w:fill="FFFFFF"/>
        <w:spacing w:before="100" w:beforeAutospacing="1" w:after="100" w:afterAutospacing="1"/>
        <w:jc w:val="right"/>
        <w:rPr>
          <w:rFonts w:hint="eastAsia" w:ascii="仿宋" w:hAnsi="仿宋" w:eastAsia="仿宋" w:cs="仿宋"/>
          <w:kern w:val="0"/>
          <w:sz w:val="32"/>
          <w:szCs w:val="32"/>
        </w:rPr>
      </w:pPr>
      <w:r>
        <w:rPr>
          <w:rFonts w:hint="eastAsia" w:ascii="仿宋" w:hAnsi="仿宋" w:eastAsia="仿宋" w:cs="仿宋"/>
          <w:kern w:val="0"/>
          <w:sz w:val="32"/>
          <w:szCs w:val="32"/>
          <w:shd w:val="clear" w:color="auto" w:fill="FFFFFF"/>
        </w:rPr>
        <w:t>华南农业大学经济管理学院</w:t>
      </w:r>
    </w:p>
    <w:p w14:paraId="5BDA54FC">
      <w:pPr>
        <w:widowControl/>
        <w:shd w:val="clear" w:color="auto" w:fill="FFFFFF"/>
        <w:spacing w:before="100" w:beforeAutospacing="1" w:after="100" w:afterAutospacing="1"/>
        <w:ind w:right="320"/>
        <w:jc w:val="right"/>
        <w:rPr>
          <w:rFonts w:hint="eastAsia" w:ascii="仿宋" w:hAnsi="仿宋" w:eastAsia="仿宋" w:cs="仿宋"/>
          <w:kern w:val="0"/>
          <w:sz w:val="32"/>
          <w:szCs w:val="32"/>
        </w:rPr>
      </w:pPr>
      <w:r>
        <w:rPr>
          <w:rFonts w:hint="eastAsia" w:ascii="仿宋" w:hAnsi="仿宋" w:eastAsia="仿宋" w:cs="仿宋"/>
          <w:kern w:val="0"/>
          <w:sz w:val="32"/>
          <w:szCs w:val="32"/>
          <w:shd w:val="clear" w:color="auto" w:fill="FFFFFF"/>
        </w:rPr>
        <w:t>二〇二五年三月</w:t>
      </w:r>
    </w:p>
    <w:p w14:paraId="61FB3444">
      <w:pPr>
        <w:shd w:val="clear" w:color="auto" w:fill="FFFFFF"/>
        <w:spacing w:line="360" w:lineRule="auto"/>
        <w:ind w:firstLine="482" w:firstLineChars="200"/>
        <w:rPr>
          <w:rFonts w:ascii="Tahoma" w:hAnsi="Tahoma" w:eastAsia="宋体" w:cs="Tahoma"/>
          <w:b/>
          <w:kern w:val="0"/>
          <w:sz w:val="24"/>
          <w:szCs w:val="24"/>
          <w:shd w:val="clear" w:color="auto" w:fill="FFFFFF"/>
        </w:rPr>
      </w:pPr>
    </w:p>
    <w:p w14:paraId="703DE9E2">
      <w:pPr>
        <w:shd w:val="clear" w:color="auto" w:fill="FFFFFF"/>
        <w:spacing w:line="360" w:lineRule="auto"/>
        <w:ind w:firstLine="482" w:firstLineChars="200"/>
        <w:rPr>
          <w:rFonts w:ascii="Tahoma" w:hAnsi="Tahoma" w:eastAsia="宋体" w:cs="Tahoma"/>
          <w:b/>
          <w:kern w:val="0"/>
          <w:sz w:val="24"/>
          <w:szCs w:val="24"/>
          <w:shd w:val="clear" w:color="auto" w:fill="FFFFFF"/>
        </w:rPr>
      </w:pPr>
    </w:p>
    <w:p w14:paraId="7E5EB65A">
      <w:pPr>
        <w:shd w:val="clear" w:color="auto" w:fill="FFFFFF"/>
        <w:spacing w:line="360" w:lineRule="auto"/>
        <w:ind w:firstLine="482" w:firstLineChars="200"/>
        <w:rPr>
          <w:rFonts w:ascii="Tahoma" w:hAnsi="Tahoma" w:eastAsia="宋体" w:cs="Tahoma"/>
          <w:b/>
          <w:kern w:val="0"/>
          <w:sz w:val="24"/>
          <w:szCs w:val="24"/>
          <w:shd w:val="clear" w:color="auto" w:fill="FFFFFF"/>
        </w:rPr>
      </w:pPr>
    </w:p>
    <w:p w14:paraId="10B1ECB4">
      <w:pPr>
        <w:shd w:val="clear" w:color="auto" w:fill="FFFFFF"/>
        <w:spacing w:line="360" w:lineRule="auto"/>
        <w:ind w:firstLine="482" w:firstLineChars="200"/>
        <w:rPr>
          <w:rFonts w:ascii="Tahoma" w:hAnsi="Tahoma" w:eastAsia="宋体" w:cs="Tahoma"/>
          <w:b/>
          <w:kern w:val="0"/>
          <w:sz w:val="24"/>
          <w:szCs w:val="24"/>
          <w:shd w:val="clear" w:color="auto" w:fill="FFFFFF"/>
        </w:rPr>
      </w:pPr>
    </w:p>
    <w:p w14:paraId="7D11040B">
      <w:pPr>
        <w:shd w:val="clear" w:color="auto" w:fill="FFFFFF"/>
        <w:spacing w:line="360" w:lineRule="auto"/>
        <w:ind w:firstLine="482" w:firstLineChars="200"/>
        <w:rPr>
          <w:rFonts w:ascii="Tahoma" w:hAnsi="Tahoma" w:eastAsia="宋体" w:cs="Tahoma"/>
          <w:b/>
          <w:kern w:val="0"/>
          <w:sz w:val="24"/>
          <w:szCs w:val="24"/>
          <w:shd w:val="clear" w:color="auto" w:fill="FFFFFF"/>
        </w:rPr>
      </w:pPr>
    </w:p>
    <w:p w14:paraId="16AA447C">
      <w:pPr>
        <w:shd w:val="clear" w:color="auto" w:fill="FFFFFF"/>
        <w:spacing w:line="360" w:lineRule="auto"/>
        <w:ind w:firstLine="883" w:firstLineChars="200"/>
        <w:jc w:val="center"/>
        <w:rPr>
          <w:rFonts w:hint="eastAsia" w:ascii="黑体" w:hAnsi="黑体" w:eastAsia="黑体" w:cs="黑体"/>
          <w:b/>
          <w:color w:val="000000"/>
          <w:kern w:val="0"/>
          <w:sz w:val="44"/>
          <w:szCs w:val="44"/>
          <w14:ligatures w14:val="none"/>
        </w:rPr>
      </w:pPr>
      <w:r>
        <w:rPr>
          <w:rFonts w:hint="eastAsia" w:ascii="仿宋" w:hAnsi="仿宋" w:eastAsia="仿宋" w:cs="仿宋"/>
          <w:b/>
          <w:kern w:val="0"/>
          <w:sz w:val="44"/>
          <w:szCs w:val="44"/>
          <w:shd w:val="clear" w:color="auto" w:fill="FFFFFF"/>
        </w:rPr>
        <w:t>附件一：</w:t>
      </w:r>
      <w:r>
        <w:rPr>
          <w:rFonts w:hint="eastAsia" w:ascii="仿宋" w:hAnsi="仿宋" w:eastAsia="仿宋" w:cs="仿宋"/>
          <w:b/>
          <w:color w:val="000000"/>
          <w:kern w:val="0"/>
          <w:sz w:val="44"/>
          <w:szCs w:val="44"/>
        </w:rPr>
        <w:t>经济管理学院优秀毕业研究生评选计分细则</w:t>
      </w:r>
    </w:p>
    <w:p w14:paraId="1D1215A0">
      <w:pPr>
        <w:spacing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一、思想品德（满分5分）</w:t>
      </w:r>
    </w:p>
    <w:p w14:paraId="59D46707">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满足以下条件者，可获得满分5分：热爱祖国，热爱人民，坚决拥护中国共产党的领导和社会主义制度，具有坚定的政治方向和良好的思想道德修养，遵纪守法，爱护公共财产，团结同学，乐于助人，求真务实，热心参与爱国主义活动和校内外公益实践活动。</w:t>
      </w:r>
    </w:p>
    <w:p w14:paraId="44815175">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有下列情况者，予以相应扣分处理：</w:t>
      </w:r>
    </w:p>
    <w:p w14:paraId="301ECE25">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（一）违反社会公德、扰乱公共秩序、违背校园文明，扣2分/次。</w:t>
      </w:r>
    </w:p>
    <w:p w14:paraId="28D736B6">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（二）不讲诚信，通过提供虚假信息为自己谋利，扣3分/次。</w:t>
      </w:r>
    </w:p>
    <w:p w14:paraId="635AB2B7">
      <w:pPr>
        <w:spacing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二、奖学金方面（满分5分）</w:t>
      </w:r>
    </w:p>
    <w:p w14:paraId="29870514">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（一）获得国家奖学金：3分/次</w:t>
      </w:r>
    </w:p>
    <w:p w14:paraId="3BDA87A3">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（二）获得研究生一等学业奖学金：2分/次</w:t>
      </w:r>
    </w:p>
    <w:p w14:paraId="49925AF8">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（三）获得研究生二等学业奖学金：1分/次</w:t>
      </w:r>
    </w:p>
    <w:p w14:paraId="0EB8C55F">
      <w:pPr>
        <w:spacing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三、学生工作方面（满分5分）</w:t>
      </w:r>
    </w:p>
    <w:p w14:paraId="617888DA">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担任校级以上（不含校级）学生干部加3分；担任校团委副书记（研究生）、研究生会主席团，学院团委副书记（研究生）、研究生会主席团、学生党支部副书记等职务，加3分；担任校团委学生部长、校研究生会部长，学院团委部长（研究生），学生党支部支委、班级团支部书记、班长等职务，加2分。其他校院学生干部加1分。担任学生干部不累计加分，不满半年的不加分。</w:t>
      </w:r>
    </w:p>
    <w:p w14:paraId="68270E00">
      <w:pPr>
        <w:widowControl/>
        <w:spacing w:line="360" w:lineRule="auto"/>
        <w:ind w:firstLine="640" w:firstLineChars="200"/>
        <w:jc w:val="left"/>
        <w:rPr>
          <w:rFonts w:hint="eastAsia" w:ascii="仿宋" w:hAnsi="仿宋" w:eastAsia="仿宋" w:cs="仿宋"/>
          <w:kern w:val="0"/>
          <w:sz w:val="32"/>
          <w:szCs w:val="32"/>
        </w:rPr>
      </w:pPr>
    </w:p>
    <w:tbl>
      <w:tblPr>
        <w:tblStyle w:val="1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6"/>
        <w:gridCol w:w="1453"/>
      </w:tblGrid>
      <w:tr w14:paraId="3DB3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6" w:type="dxa"/>
            <w:vAlign w:val="center"/>
          </w:tcPr>
          <w:p w14:paraId="3D510B0A">
            <w:pPr>
              <w:spacing w:line="360" w:lineRule="auto"/>
              <w:jc w:val="center"/>
              <w:rPr>
                <w:rFonts w:hint="eastAsia" w:ascii="仿宋" w:hAnsi="仿宋" w:eastAsia="仿宋" w:cs="仿宋"/>
                <w:b/>
                <w:spacing w:val="-3"/>
                <w:kern w:val="0"/>
                <w:sz w:val="32"/>
                <w:szCs w:val="32"/>
              </w:rPr>
            </w:pPr>
            <w:r>
              <w:rPr>
                <w:rFonts w:hint="eastAsia" w:ascii="仿宋" w:hAnsi="仿宋" w:eastAsia="仿宋" w:cs="仿宋"/>
                <w:b/>
                <w:spacing w:val="-3"/>
                <w:kern w:val="0"/>
                <w:sz w:val="32"/>
                <w:szCs w:val="32"/>
              </w:rPr>
              <w:t>类 别</w:t>
            </w:r>
          </w:p>
        </w:tc>
        <w:tc>
          <w:tcPr>
            <w:tcW w:w="1453" w:type="dxa"/>
            <w:vAlign w:val="center"/>
          </w:tcPr>
          <w:p w14:paraId="69214DD4">
            <w:pPr>
              <w:spacing w:line="360" w:lineRule="auto"/>
              <w:jc w:val="center"/>
              <w:rPr>
                <w:rFonts w:hint="eastAsia" w:ascii="仿宋" w:hAnsi="仿宋" w:eastAsia="仿宋" w:cs="仿宋"/>
                <w:b/>
                <w:spacing w:val="-3"/>
                <w:kern w:val="0"/>
                <w:sz w:val="32"/>
                <w:szCs w:val="32"/>
              </w:rPr>
            </w:pPr>
            <w:r>
              <w:rPr>
                <w:rFonts w:hint="eastAsia" w:ascii="仿宋" w:hAnsi="仿宋" w:eastAsia="仿宋" w:cs="仿宋"/>
                <w:b/>
                <w:spacing w:val="-3"/>
                <w:kern w:val="0"/>
                <w:sz w:val="32"/>
                <w:szCs w:val="32"/>
              </w:rPr>
              <w:t>分 值</w:t>
            </w:r>
          </w:p>
        </w:tc>
      </w:tr>
      <w:tr w14:paraId="558E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586" w:type="dxa"/>
            <w:vAlign w:val="center"/>
          </w:tcPr>
          <w:p w14:paraId="338C9C68">
            <w:pPr>
              <w:spacing w:line="360" w:lineRule="auto"/>
              <w:jc w:val="center"/>
              <w:rPr>
                <w:rFonts w:hint="eastAsia" w:ascii="仿宋" w:hAnsi="仿宋" w:eastAsia="仿宋" w:cs="仿宋"/>
                <w:spacing w:val="-3"/>
                <w:kern w:val="0"/>
                <w:sz w:val="32"/>
                <w:szCs w:val="32"/>
              </w:rPr>
            </w:pPr>
            <w:r>
              <w:rPr>
                <w:rFonts w:hint="eastAsia" w:ascii="仿宋" w:hAnsi="仿宋" w:eastAsia="仿宋" w:cs="仿宋"/>
                <w:kern w:val="0"/>
                <w:sz w:val="32"/>
                <w:szCs w:val="32"/>
              </w:rPr>
              <w:t>校级以上（不含校级）学生干部、校团委副书记（研究生）、研究生会主席团，学院团委副书记（研究生）、研究生会主席团、学生党支部副书记等职务</w:t>
            </w:r>
          </w:p>
        </w:tc>
        <w:tc>
          <w:tcPr>
            <w:tcW w:w="1453" w:type="dxa"/>
            <w:vAlign w:val="center"/>
          </w:tcPr>
          <w:p w14:paraId="3459012C">
            <w:pPr>
              <w:spacing w:line="360" w:lineRule="auto"/>
              <w:jc w:val="center"/>
              <w:rPr>
                <w:rFonts w:hint="eastAsia" w:ascii="仿宋" w:hAnsi="仿宋" w:eastAsia="仿宋" w:cs="仿宋"/>
                <w:spacing w:val="-3"/>
                <w:kern w:val="0"/>
                <w:sz w:val="32"/>
                <w:szCs w:val="32"/>
              </w:rPr>
            </w:pPr>
            <w:r>
              <w:rPr>
                <w:rFonts w:hint="eastAsia" w:ascii="仿宋" w:hAnsi="仿宋" w:eastAsia="仿宋" w:cs="仿宋"/>
                <w:spacing w:val="-3"/>
                <w:kern w:val="0"/>
                <w:sz w:val="32"/>
                <w:szCs w:val="32"/>
              </w:rPr>
              <w:t>3</w:t>
            </w:r>
          </w:p>
        </w:tc>
      </w:tr>
      <w:tr w14:paraId="3EC7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6" w:type="dxa"/>
            <w:vAlign w:val="center"/>
          </w:tcPr>
          <w:p w14:paraId="60B89C4F">
            <w:pPr>
              <w:spacing w:line="360" w:lineRule="auto"/>
              <w:jc w:val="center"/>
              <w:rPr>
                <w:rFonts w:hint="eastAsia" w:ascii="仿宋" w:hAnsi="仿宋" w:eastAsia="仿宋" w:cs="仿宋"/>
                <w:spacing w:val="-3"/>
                <w:kern w:val="0"/>
                <w:sz w:val="32"/>
                <w:szCs w:val="32"/>
              </w:rPr>
            </w:pPr>
            <w:r>
              <w:rPr>
                <w:rFonts w:hint="eastAsia" w:ascii="仿宋" w:hAnsi="仿宋" w:eastAsia="仿宋" w:cs="仿宋"/>
                <w:kern w:val="0"/>
                <w:sz w:val="32"/>
                <w:szCs w:val="32"/>
              </w:rPr>
              <w:t>担任校团委学生部长、校研究生会部长，学院团委部长（研究生），学生党支部支委、班级团支部书记、班长等职务</w:t>
            </w:r>
          </w:p>
        </w:tc>
        <w:tc>
          <w:tcPr>
            <w:tcW w:w="1453" w:type="dxa"/>
            <w:vAlign w:val="center"/>
          </w:tcPr>
          <w:p w14:paraId="25516622">
            <w:pPr>
              <w:spacing w:line="360" w:lineRule="auto"/>
              <w:jc w:val="center"/>
              <w:rPr>
                <w:rFonts w:hint="eastAsia" w:ascii="仿宋" w:hAnsi="仿宋" w:eastAsia="仿宋" w:cs="仿宋"/>
                <w:spacing w:val="-3"/>
                <w:kern w:val="0"/>
                <w:sz w:val="32"/>
                <w:szCs w:val="32"/>
              </w:rPr>
            </w:pPr>
            <w:r>
              <w:rPr>
                <w:rFonts w:hint="eastAsia" w:ascii="仿宋" w:hAnsi="仿宋" w:eastAsia="仿宋" w:cs="仿宋"/>
                <w:spacing w:val="-3"/>
                <w:kern w:val="0"/>
                <w:sz w:val="32"/>
                <w:szCs w:val="32"/>
              </w:rPr>
              <w:t>2</w:t>
            </w:r>
          </w:p>
        </w:tc>
      </w:tr>
      <w:tr w14:paraId="6AA8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6" w:type="dxa"/>
            <w:vAlign w:val="center"/>
          </w:tcPr>
          <w:p w14:paraId="1433093C">
            <w:pPr>
              <w:spacing w:line="360" w:lineRule="auto"/>
              <w:jc w:val="center"/>
              <w:rPr>
                <w:rFonts w:hint="eastAsia" w:ascii="仿宋" w:hAnsi="仿宋" w:eastAsia="仿宋" w:cs="仿宋"/>
                <w:spacing w:val="-3"/>
                <w:kern w:val="0"/>
                <w:sz w:val="32"/>
                <w:szCs w:val="32"/>
              </w:rPr>
            </w:pPr>
            <w:r>
              <w:rPr>
                <w:rFonts w:hint="eastAsia" w:ascii="仿宋" w:hAnsi="仿宋" w:eastAsia="仿宋" w:cs="仿宋"/>
                <w:kern w:val="0"/>
                <w:sz w:val="32"/>
                <w:szCs w:val="32"/>
              </w:rPr>
              <w:t>其他校院学生干部</w:t>
            </w:r>
          </w:p>
        </w:tc>
        <w:tc>
          <w:tcPr>
            <w:tcW w:w="1453" w:type="dxa"/>
            <w:vAlign w:val="center"/>
          </w:tcPr>
          <w:p w14:paraId="04F5F441">
            <w:pPr>
              <w:spacing w:line="360" w:lineRule="auto"/>
              <w:jc w:val="center"/>
              <w:rPr>
                <w:rFonts w:hint="eastAsia" w:ascii="仿宋" w:hAnsi="仿宋" w:eastAsia="仿宋" w:cs="仿宋"/>
                <w:spacing w:val="-3"/>
                <w:kern w:val="0"/>
                <w:sz w:val="32"/>
                <w:szCs w:val="32"/>
              </w:rPr>
            </w:pPr>
            <w:r>
              <w:rPr>
                <w:rFonts w:hint="eastAsia" w:ascii="仿宋" w:hAnsi="仿宋" w:eastAsia="仿宋" w:cs="仿宋"/>
                <w:spacing w:val="-3"/>
                <w:kern w:val="0"/>
                <w:sz w:val="32"/>
                <w:szCs w:val="32"/>
              </w:rPr>
              <w:t>1</w:t>
            </w:r>
          </w:p>
        </w:tc>
      </w:tr>
    </w:tbl>
    <w:p w14:paraId="4C916CC9">
      <w:pPr>
        <w:spacing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四、竞赛获奖方面（满分5分）</w:t>
      </w:r>
    </w:p>
    <w:p w14:paraId="0207457F">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（一）参加校市级活动获一、二、三等奖者，每人次分别加2分、1.5分和1分；</w:t>
      </w:r>
    </w:p>
    <w:p w14:paraId="6C01D0E2">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（二）参加省部级活动获一、二、三等奖者，每人次分别加3分、2.5分和2分；</w:t>
      </w:r>
    </w:p>
    <w:p w14:paraId="1CB74D57">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（三）参加国家级及以上活动获一、二、三等奖者，每人次分别加5分、4分和3分。</w:t>
      </w:r>
    </w:p>
    <w:p w14:paraId="3F1EC7EA">
      <w:pPr>
        <w:widowControl/>
        <w:spacing w:line="360" w:lineRule="auto"/>
        <w:ind w:firstLine="640" w:firstLineChars="200"/>
        <w:jc w:val="left"/>
        <w:rPr>
          <w:rFonts w:hint="eastAsia" w:ascii="仿宋" w:hAnsi="仿宋" w:eastAsia="仿宋" w:cs="仿宋"/>
          <w:color w:val="FF0000"/>
          <w:kern w:val="0"/>
          <w:sz w:val="32"/>
          <w:szCs w:val="32"/>
        </w:rPr>
      </w:pPr>
      <w:r>
        <w:rPr>
          <w:rFonts w:hint="eastAsia" w:ascii="仿宋" w:hAnsi="仿宋" w:eastAsia="仿宋" w:cs="仿宋"/>
          <w:kern w:val="0"/>
          <w:sz w:val="32"/>
          <w:szCs w:val="32"/>
        </w:rPr>
        <w:t>以上获奖加分均应有证书或等价文件证实，否则不得加分。同一项目获奖以最高分计算。获得其他奖项按照同等层次类似级别计分，如省部级优胜奖按照校市级最高奖项加分。集体项目获奖则参与者减半加分。</w:t>
      </w:r>
    </w:p>
    <w:p w14:paraId="1AE83686">
      <w:pPr>
        <w:spacing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五、学术表现方面（满分25分）</w:t>
      </w:r>
    </w:p>
    <w:p w14:paraId="59807657">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学术表现总分=发表论文加分+科研奖励加分+专著加分</w:t>
      </w:r>
    </w:p>
    <w:p w14:paraId="3048C245">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（一）发表论文加分</w:t>
      </w:r>
    </w:p>
    <w:p w14:paraId="7251A2A9">
      <w:pPr>
        <w:widowControl/>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加分论文范围和标准参考《华南农业大学学术论文评价方案（试行）》（华南农办〔2021〕27号）。</w:t>
      </w:r>
    </w:p>
    <w:p w14:paraId="40DA262E">
      <w:pPr>
        <w:widowControl/>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发表论文计分规则。研究生（排名首位的第一作者/排名最后的通讯作者/华农导师第一学生第二）的第一署名单位必须是“华南农业大学（South China Agricultural University）”经济管理学院及其下设研究机构。</w:t>
      </w:r>
    </w:p>
    <w:p w14:paraId="0BF78510">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（1）发表论文以收到纸质刊物为准，须将杂志封面、目录和论文全文的复印件材料附于申请表后，未出版的稿件不纳入本次评选范畴；SSCI、SCI、EI收录的论文以图书馆提供的检索证明为准。</w:t>
      </w:r>
    </w:p>
    <w:p w14:paraId="31B85BD4">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只有本人为第一作者，或者本人为通讯作者，或者导师作为第一作者、本人作为第二作者的论文才能申请加分，同一篇论文只允许一人申报加分，申报加分顺序为：①本人为论文第一作者；②本人为论文通讯作者；③导师为论文第一作者、本人为论文第二作者（如果在此情形下论文通讯作者为华南农业大学研究生，则此论文必须出具导师和通讯作者的同意函，并且此论文在此奖项评定中只能计算一次）。</w:t>
      </w:r>
    </w:p>
    <w:p w14:paraId="08A7A385">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计分规则如下：</w:t>
      </w:r>
    </w:p>
    <w:p w14:paraId="2238CE14">
      <w:pPr>
        <w:pStyle w:val="37"/>
        <w:tabs>
          <w:tab w:val="left" w:pos="1107"/>
        </w:tabs>
        <w:spacing w:line="360" w:lineRule="auto"/>
        <w:ind w:firstLine="580"/>
        <w:rPr>
          <w:rFonts w:hint="eastAsia" w:ascii="仿宋" w:hAnsi="仿宋" w:eastAsia="仿宋" w:cs="仿宋"/>
          <w:sz w:val="32"/>
          <w:szCs w:val="32"/>
        </w:rPr>
      </w:pPr>
      <w:bookmarkStart w:id="0" w:name="bookmark114"/>
      <w:r>
        <w:rPr>
          <w:rFonts w:hint="eastAsia" w:ascii="仿宋" w:hAnsi="仿宋" w:eastAsia="仿宋" w:cs="仿宋"/>
          <w:sz w:val="32"/>
          <w:szCs w:val="32"/>
        </w:rPr>
        <w:t>（</w:t>
      </w:r>
      <w:bookmarkEnd w:id="0"/>
      <w:r>
        <w:rPr>
          <w:rFonts w:hint="eastAsia" w:ascii="仿宋" w:hAnsi="仿宋" w:eastAsia="仿宋" w:cs="仿宋"/>
          <w:sz w:val="32"/>
          <w:szCs w:val="32"/>
        </w:rPr>
        <w:t>1）发表</w:t>
      </w:r>
      <w:r>
        <w:rPr>
          <w:rFonts w:hint="eastAsia" w:ascii="仿宋" w:hAnsi="仿宋" w:eastAsia="仿宋" w:cs="仿宋"/>
          <w:sz w:val="32"/>
          <w:szCs w:val="32"/>
          <w:lang w:val="en-US" w:eastAsia="zh-CN" w:bidi="en-US"/>
        </w:rPr>
        <w:t>T1</w:t>
      </w:r>
      <w:r>
        <w:rPr>
          <w:rFonts w:hint="eastAsia" w:ascii="仿宋" w:hAnsi="仿宋" w:eastAsia="仿宋" w:cs="仿宋"/>
          <w:sz w:val="32"/>
          <w:szCs w:val="32"/>
        </w:rPr>
        <w:t>类目录内的期刊论文，第一作者或者通讯作者加</w:t>
      </w:r>
      <w:r>
        <w:rPr>
          <w:rFonts w:hint="eastAsia" w:ascii="仿宋" w:hAnsi="仿宋" w:eastAsia="仿宋" w:cs="仿宋"/>
          <w:sz w:val="32"/>
          <w:szCs w:val="32"/>
          <w:lang w:val="en-US" w:eastAsia="zh-CN"/>
        </w:rPr>
        <w:t>10</w:t>
      </w:r>
      <w:r>
        <w:rPr>
          <w:rFonts w:hint="eastAsia" w:ascii="仿宋" w:hAnsi="仿宋" w:eastAsia="仿宋" w:cs="仿宋"/>
          <w:sz w:val="32"/>
          <w:szCs w:val="32"/>
        </w:rPr>
        <w:t>分，第二作者加</w:t>
      </w:r>
      <w:r>
        <w:rPr>
          <w:rFonts w:hint="eastAsia" w:ascii="仿宋" w:hAnsi="仿宋" w:eastAsia="仿宋" w:cs="仿宋"/>
          <w:sz w:val="32"/>
          <w:szCs w:val="32"/>
          <w:lang w:val="en-US" w:eastAsia="zh-CN"/>
        </w:rPr>
        <w:t>8</w:t>
      </w:r>
      <w:r>
        <w:rPr>
          <w:rFonts w:hint="eastAsia" w:ascii="仿宋" w:hAnsi="仿宋" w:eastAsia="仿宋" w:cs="仿宋"/>
          <w:sz w:val="32"/>
          <w:szCs w:val="32"/>
        </w:rPr>
        <w:t>分，其他排序作者不加分；</w:t>
      </w:r>
    </w:p>
    <w:p w14:paraId="7846A7E9">
      <w:pPr>
        <w:pStyle w:val="37"/>
        <w:tabs>
          <w:tab w:val="left" w:pos="1114"/>
        </w:tabs>
        <w:spacing w:line="360" w:lineRule="auto"/>
        <w:ind w:firstLine="580"/>
        <w:rPr>
          <w:rFonts w:hint="eastAsia" w:ascii="仿宋" w:hAnsi="仿宋" w:eastAsia="仿宋" w:cs="仿宋"/>
          <w:sz w:val="32"/>
          <w:szCs w:val="32"/>
          <w:lang w:eastAsia="zh-CN"/>
        </w:rPr>
      </w:pPr>
      <w:bookmarkStart w:id="1" w:name="bookmark115"/>
      <w:r>
        <w:rPr>
          <w:rFonts w:hint="eastAsia" w:ascii="仿宋" w:hAnsi="仿宋" w:eastAsia="仿宋" w:cs="仿宋"/>
          <w:sz w:val="32"/>
          <w:szCs w:val="32"/>
        </w:rPr>
        <w:t>（</w:t>
      </w:r>
      <w:bookmarkEnd w:id="1"/>
      <w:r>
        <w:rPr>
          <w:rFonts w:hint="eastAsia" w:ascii="仿宋" w:hAnsi="仿宋" w:eastAsia="仿宋" w:cs="仿宋"/>
          <w:sz w:val="32"/>
          <w:szCs w:val="32"/>
        </w:rPr>
        <w:t>2）发表</w:t>
      </w:r>
      <w:r>
        <w:rPr>
          <w:rFonts w:hint="eastAsia" w:ascii="仿宋" w:hAnsi="仿宋" w:eastAsia="仿宋" w:cs="仿宋"/>
          <w:sz w:val="32"/>
          <w:szCs w:val="32"/>
          <w:lang w:val="en-US" w:eastAsia="zh-CN"/>
        </w:rPr>
        <w:t>T2</w:t>
      </w:r>
      <w:r>
        <w:rPr>
          <w:rFonts w:hint="eastAsia" w:ascii="仿宋" w:hAnsi="仿宋" w:eastAsia="仿宋" w:cs="仿宋"/>
          <w:sz w:val="32"/>
          <w:szCs w:val="32"/>
        </w:rPr>
        <w:t>类目录内的期刊论文，第一作者或者通讯作者加</w:t>
      </w:r>
      <w:r>
        <w:rPr>
          <w:rFonts w:hint="eastAsia" w:ascii="仿宋" w:hAnsi="仿宋" w:eastAsia="仿宋" w:cs="仿宋"/>
          <w:sz w:val="32"/>
          <w:szCs w:val="32"/>
          <w:lang w:val="en-US"/>
        </w:rPr>
        <w:t>8</w:t>
      </w:r>
      <w:r>
        <w:rPr>
          <w:rFonts w:hint="eastAsia" w:ascii="仿宋" w:hAnsi="仿宋" w:eastAsia="仿宋" w:cs="仿宋"/>
          <w:sz w:val="32"/>
          <w:szCs w:val="32"/>
        </w:rPr>
        <w:t>分，第二作者加</w:t>
      </w:r>
      <w:r>
        <w:rPr>
          <w:rFonts w:hint="eastAsia" w:ascii="仿宋" w:hAnsi="仿宋" w:eastAsia="仿宋" w:cs="仿宋"/>
          <w:sz w:val="32"/>
          <w:szCs w:val="32"/>
          <w:lang w:val="en-US"/>
        </w:rPr>
        <w:t>5</w:t>
      </w:r>
      <w:r>
        <w:rPr>
          <w:rFonts w:hint="eastAsia" w:ascii="仿宋" w:hAnsi="仿宋" w:eastAsia="仿宋" w:cs="仿宋"/>
          <w:sz w:val="32"/>
          <w:szCs w:val="32"/>
        </w:rPr>
        <w:t>分，其他排序作者不加分；</w:t>
      </w:r>
    </w:p>
    <w:p w14:paraId="49A47CE5">
      <w:pPr>
        <w:pStyle w:val="37"/>
        <w:tabs>
          <w:tab w:val="left" w:pos="1107"/>
        </w:tabs>
        <w:spacing w:line="360" w:lineRule="auto"/>
        <w:ind w:firstLine="580"/>
        <w:rPr>
          <w:rFonts w:hint="eastAsia" w:ascii="仿宋" w:hAnsi="仿宋" w:eastAsia="仿宋" w:cs="仿宋"/>
          <w:sz w:val="32"/>
          <w:szCs w:val="32"/>
        </w:rPr>
      </w:pPr>
      <w:bookmarkStart w:id="2" w:name="bookmark116"/>
      <w:r>
        <w:rPr>
          <w:rFonts w:hint="eastAsia" w:ascii="仿宋" w:hAnsi="仿宋" w:eastAsia="仿宋" w:cs="仿宋"/>
          <w:sz w:val="32"/>
          <w:szCs w:val="32"/>
        </w:rPr>
        <w:t>（</w:t>
      </w:r>
      <w:bookmarkEnd w:id="2"/>
      <w:r>
        <w:rPr>
          <w:rFonts w:hint="eastAsia" w:ascii="仿宋" w:hAnsi="仿宋" w:eastAsia="仿宋" w:cs="仿宋"/>
          <w:sz w:val="32"/>
          <w:szCs w:val="32"/>
        </w:rPr>
        <w:t>3）发表</w:t>
      </w:r>
      <w:r>
        <w:rPr>
          <w:rFonts w:hint="eastAsia" w:ascii="仿宋" w:hAnsi="仿宋" w:eastAsia="仿宋" w:cs="仿宋"/>
          <w:sz w:val="32"/>
          <w:szCs w:val="32"/>
          <w:lang w:val="en-US" w:eastAsia="zh-CN"/>
        </w:rPr>
        <w:t>A</w:t>
      </w:r>
      <w:r>
        <w:rPr>
          <w:rFonts w:hint="eastAsia" w:ascii="仿宋" w:hAnsi="仿宋" w:eastAsia="仿宋" w:cs="仿宋"/>
          <w:sz w:val="32"/>
          <w:szCs w:val="32"/>
        </w:rPr>
        <w:t>类目录内的期刊论文，第一作者或者通讯作者加</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分，第二作者加 </w:t>
      </w:r>
      <w:r>
        <w:rPr>
          <w:rFonts w:hint="eastAsia" w:ascii="仿宋" w:hAnsi="仿宋" w:eastAsia="仿宋" w:cs="仿宋"/>
          <w:sz w:val="32"/>
          <w:szCs w:val="32"/>
          <w:lang w:val="en-US" w:eastAsia="zh-CN"/>
        </w:rPr>
        <w:t>2.5</w:t>
      </w:r>
      <w:r>
        <w:rPr>
          <w:rFonts w:hint="eastAsia" w:ascii="仿宋" w:hAnsi="仿宋" w:eastAsia="仿宋" w:cs="仿宋"/>
          <w:sz w:val="32"/>
          <w:szCs w:val="32"/>
        </w:rPr>
        <w:t>分，其他排序作者不加分；</w:t>
      </w:r>
    </w:p>
    <w:p w14:paraId="465842B8">
      <w:pPr>
        <w:pStyle w:val="37"/>
        <w:tabs>
          <w:tab w:val="left" w:pos="524"/>
        </w:tabs>
        <w:spacing w:after="100" w:line="360" w:lineRule="auto"/>
        <w:ind w:firstLine="580"/>
        <w:rPr>
          <w:rFonts w:hint="eastAsia" w:ascii="仿宋" w:hAnsi="仿宋" w:eastAsia="仿宋" w:cs="仿宋"/>
          <w:sz w:val="32"/>
          <w:szCs w:val="32"/>
          <w:lang w:eastAsia="zh-CN"/>
        </w:rPr>
      </w:pPr>
      <w:bookmarkStart w:id="3" w:name="bookmark117"/>
      <w:r>
        <w:rPr>
          <w:rFonts w:hint="eastAsia" w:ascii="仿宋" w:hAnsi="仿宋" w:eastAsia="仿宋" w:cs="仿宋"/>
          <w:sz w:val="32"/>
          <w:szCs w:val="32"/>
        </w:rPr>
        <w:t>（</w:t>
      </w:r>
      <w:bookmarkEnd w:id="3"/>
      <w:r>
        <w:rPr>
          <w:rFonts w:hint="eastAsia" w:ascii="仿宋" w:hAnsi="仿宋" w:eastAsia="仿宋" w:cs="仿宋"/>
          <w:sz w:val="32"/>
          <w:szCs w:val="32"/>
        </w:rPr>
        <w:t>4）发表</w:t>
      </w:r>
      <w:r>
        <w:rPr>
          <w:rFonts w:hint="eastAsia" w:ascii="仿宋" w:hAnsi="仿宋" w:eastAsia="仿宋" w:cs="仿宋"/>
          <w:sz w:val="32"/>
          <w:szCs w:val="32"/>
          <w:lang w:val="en-US" w:eastAsia="zh-CN"/>
        </w:rPr>
        <w:t>B</w:t>
      </w:r>
      <w:r>
        <w:rPr>
          <w:rFonts w:hint="eastAsia" w:ascii="仿宋" w:hAnsi="仿宋" w:eastAsia="仿宋" w:cs="仿宋"/>
          <w:sz w:val="32"/>
          <w:szCs w:val="32"/>
        </w:rPr>
        <w:t>类目录内的期刊论文，第一作者或者通讯作者加</w:t>
      </w:r>
      <w:r>
        <w:rPr>
          <w:rFonts w:hint="eastAsia" w:ascii="仿宋" w:hAnsi="仿宋" w:eastAsia="仿宋" w:cs="仿宋"/>
          <w:sz w:val="32"/>
          <w:szCs w:val="32"/>
          <w:lang w:val="en-US" w:eastAsia="zh-CN"/>
        </w:rPr>
        <w:t>3</w:t>
      </w:r>
      <w:r>
        <w:rPr>
          <w:rFonts w:hint="eastAsia" w:ascii="仿宋" w:hAnsi="仿宋" w:eastAsia="仿宋" w:cs="仿宋"/>
          <w:sz w:val="32"/>
          <w:szCs w:val="32"/>
        </w:rPr>
        <w:t>分，第二作者加</w:t>
      </w:r>
      <w:r>
        <w:rPr>
          <w:rFonts w:hint="eastAsia" w:ascii="仿宋" w:hAnsi="仿宋" w:eastAsia="仿宋" w:cs="仿宋"/>
          <w:sz w:val="32"/>
          <w:szCs w:val="32"/>
          <w:lang w:val="en-US" w:eastAsia="zh-CN"/>
        </w:rPr>
        <w:t>1.5</w:t>
      </w:r>
      <w:r>
        <w:rPr>
          <w:rFonts w:hint="eastAsia" w:ascii="仿宋" w:hAnsi="仿宋" w:eastAsia="仿宋" w:cs="仿宋"/>
          <w:sz w:val="32"/>
          <w:szCs w:val="32"/>
        </w:rPr>
        <w:t>分，其他排序作者不加分</w:t>
      </w:r>
      <w:r>
        <w:rPr>
          <w:rFonts w:hint="eastAsia" w:ascii="仿宋" w:hAnsi="仿宋" w:eastAsia="仿宋" w:cs="仿宋"/>
          <w:sz w:val="32"/>
          <w:szCs w:val="32"/>
          <w:lang w:eastAsia="zh-CN"/>
        </w:rPr>
        <w:t>；</w:t>
      </w:r>
    </w:p>
    <w:p w14:paraId="43046B67">
      <w:pPr>
        <w:pStyle w:val="37"/>
        <w:tabs>
          <w:tab w:val="left" w:pos="524"/>
        </w:tabs>
        <w:spacing w:after="100" w:line="360" w:lineRule="auto"/>
        <w:ind w:firstLine="580"/>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）发表</w:t>
      </w:r>
      <w:r>
        <w:rPr>
          <w:rFonts w:hint="eastAsia" w:ascii="仿宋" w:hAnsi="仿宋" w:eastAsia="仿宋" w:cs="仿宋"/>
          <w:sz w:val="32"/>
          <w:szCs w:val="32"/>
          <w:lang w:val="en-US" w:eastAsia="zh-CN"/>
        </w:rPr>
        <w:t>C</w:t>
      </w:r>
      <w:r>
        <w:rPr>
          <w:rFonts w:hint="eastAsia" w:ascii="仿宋" w:hAnsi="仿宋" w:eastAsia="仿宋" w:cs="仿宋"/>
          <w:sz w:val="32"/>
          <w:szCs w:val="32"/>
        </w:rPr>
        <w:t>类目录内的期刊论文，第一作者或者通讯作者加</w:t>
      </w:r>
      <w:r>
        <w:rPr>
          <w:rFonts w:hint="eastAsia" w:ascii="仿宋" w:hAnsi="仿宋" w:eastAsia="仿宋" w:cs="仿宋"/>
          <w:sz w:val="32"/>
          <w:szCs w:val="32"/>
          <w:lang w:val="en-US" w:eastAsia="zh-CN"/>
        </w:rPr>
        <w:t>2</w:t>
      </w:r>
      <w:r>
        <w:rPr>
          <w:rFonts w:hint="eastAsia" w:ascii="仿宋" w:hAnsi="仿宋" w:eastAsia="仿宋" w:cs="仿宋"/>
          <w:sz w:val="32"/>
          <w:szCs w:val="32"/>
        </w:rPr>
        <w:t>分，第二作者加</w:t>
      </w:r>
      <w:r>
        <w:rPr>
          <w:rFonts w:hint="eastAsia" w:ascii="仿宋" w:hAnsi="仿宋" w:eastAsia="仿宋" w:cs="仿宋"/>
          <w:sz w:val="32"/>
          <w:szCs w:val="32"/>
          <w:lang w:val="en-US" w:eastAsia="zh-CN"/>
        </w:rPr>
        <w:t>1</w:t>
      </w:r>
      <w:r>
        <w:rPr>
          <w:rFonts w:hint="eastAsia" w:ascii="仿宋" w:hAnsi="仿宋" w:eastAsia="仿宋" w:cs="仿宋"/>
          <w:sz w:val="32"/>
          <w:szCs w:val="32"/>
        </w:rPr>
        <w:t>分，其他排序作者不加分</w:t>
      </w:r>
      <w:r>
        <w:rPr>
          <w:rFonts w:hint="eastAsia" w:ascii="仿宋" w:hAnsi="仿宋" w:eastAsia="仿宋" w:cs="仿宋"/>
          <w:sz w:val="32"/>
          <w:szCs w:val="32"/>
          <w:lang w:eastAsia="zh-CN"/>
        </w:rPr>
        <w:t>；</w:t>
      </w:r>
    </w:p>
    <w:p w14:paraId="1B99311A">
      <w:pPr>
        <w:pStyle w:val="37"/>
        <w:tabs>
          <w:tab w:val="left" w:pos="1247"/>
        </w:tabs>
        <w:spacing w:line="360" w:lineRule="auto"/>
        <w:ind w:firstLine="578"/>
        <w:rPr>
          <w:rFonts w:hint="eastAsia" w:ascii="仿宋" w:hAnsi="仿宋" w:eastAsia="仿宋" w:cs="仿宋"/>
          <w:sz w:val="32"/>
          <w:szCs w:val="32"/>
        </w:rPr>
      </w:pP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val="zh-CN" w:eastAsia="zh-CN"/>
        </w:rPr>
        <w:t>）</w:t>
      </w:r>
      <w:r>
        <w:rPr>
          <w:rFonts w:hint="eastAsia" w:ascii="仿宋" w:hAnsi="仿宋" w:eastAsia="仿宋" w:cs="仿宋"/>
          <w:sz w:val="32"/>
          <w:szCs w:val="32"/>
        </w:rPr>
        <w:t>发表不在上述目录内的期刊论文，第一作者或者通讯作者加</w:t>
      </w:r>
      <w:r>
        <w:rPr>
          <w:rFonts w:hint="eastAsia" w:ascii="仿宋" w:hAnsi="仿宋" w:eastAsia="仿宋" w:cs="仿宋"/>
          <w:sz w:val="32"/>
          <w:szCs w:val="32"/>
          <w:lang w:val="en-US" w:eastAsia="zh-CN"/>
        </w:rPr>
        <w:t>0.5</w:t>
      </w:r>
      <w:r>
        <w:rPr>
          <w:rFonts w:hint="eastAsia" w:ascii="仿宋" w:hAnsi="仿宋" w:eastAsia="仿宋" w:cs="仿宋"/>
          <w:sz w:val="32"/>
          <w:szCs w:val="32"/>
        </w:rPr>
        <w:t>分，其他排序作者不加分；</w:t>
      </w:r>
    </w:p>
    <w:p w14:paraId="5EFD6E63">
      <w:pPr>
        <w:pStyle w:val="37"/>
        <w:tabs>
          <w:tab w:val="left" w:pos="1247"/>
        </w:tabs>
        <w:spacing w:line="360" w:lineRule="auto"/>
        <w:ind w:firstLine="578"/>
        <w:rPr>
          <w:rFonts w:hint="eastAsia" w:ascii="仿宋" w:hAnsi="仿宋" w:eastAsia="仿宋" w:cs="仿宋"/>
          <w:sz w:val="32"/>
          <w:szCs w:val="32"/>
        </w:rPr>
      </w:pPr>
      <w:bookmarkStart w:id="4" w:name="bookmark119"/>
      <w:r>
        <w:rPr>
          <w:rFonts w:hint="eastAsia" w:ascii="仿宋" w:hAnsi="仿宋" w:eastAsia="仿宋" w:cs="仿宋"/>
          <w:sz w:val="32"/>
          <w:szCs w:val="32"/>
        </w:rPr>
        <w:t>（</w:t>
      </w:r>
      <w:bookmarkEnd w:id="4"/>
      <w:r>
        <w:rPr>
          <w:rFonts w:hint="eastAsia" w:ascii="仿宋" w:hAnsi="仿宋" w:eastAsia="仿宋" w:cs="仿宋"/>
          <w:sz w:val="32"/>
          <w:szCs w:val="32"/>
          <w:lang w:val="en-US" w:eastAsia="zh-CN"/>
        </w:rPr>
        <w:t>7</w:t>
      </w:r>
      <w:r>
        <w:rPr>
          <w:rFonts w:hint="eastAsia" w:ascii="仿宋" w:hAnsi="仿宋" w:eastAsia="仿宋" w:cs="仿宋"/>
          <w:sz w:val="32"/>
          <w:szCs w:val="32"/>
        </w:rPr>
        <w:t>）中文核心期刊以北京大学出版社《中文核心期刊要目总览》（最新版）为 准，</w:t>
      </w:r>
      <w:r>
        <w:rPr>
          <w:rFonts w:hint="eastAsia" w:ascii="仿宋" w:hAnsi="仿宋" w:eastAsia="仿宋" w:cs="仿宋"/>
          <w:sz w:val="32"/>
          <w:szCs w:val="32"/>
          <w:lang w:val="en-US" w:eastAsia="zh-CN" w:bidi="en-US"/>
        </w:rPr>
        <w:t>CSSCI</w:t>
      </w:r>
      <w:r>
        <w:rPr>
          <w:rFonts w:hint="eastAsia" w:ascii="仿宋" w:hAnsi="仿宋" w:eastAsia="仿宋" w:cs="仿宋"/>
          <w:sz w:val="32"/>
          <w:szCs w:val="32"/>
        </w:rPr>
        <w:t>期刊以中文社会科学引文索引</w:t>
      </w:r>
      <w:r>
        <w:rPr>
          <w:rFonts w:hint="eastAsia" w:ascii="仿宋" w:hAnsi="仿宋" w:eastAsia="仿宋" w:cs="仿宋"/>
          <w:sz w:val="32"/>
          <w:szCs w:val="32"/>
          <w:lang w:val="en-US" w:eastAsia="zh-CN" w:bidi="en-US"/>
        </w:rPr>
        <w:t>（CSSCI</w:t>
      </w:r>
      <w:r>
        <w:rPr>
          <w:rFonts w:hint="eastAsia" w:ascii="仿宋" w:hAnsi="仿宋" w:eastAsia="仿宋" w:cs="仿宋"/>
          <w:sz w:val="32"/>
          <w:szCs w:val="32"/>
        </w:rPr>
        <w:t>最新版）来源期刊为准。被</w:t>
      </w:r>
      <w:r>
        <w:rPr>
          <w:rFonts w:hint="eastAsia" w:ascii="仿宋" w:hAnsi="仿宋" w:eastAsia="仿宋" w:cs="仿宋"/>
          <w:sz w:val="32"/>
          <w:szCs w:val="32"/>
          <w:lang w:val="en-US" w:bidi="en-US"/>
        </w:rPr>
        <w:t>SSCI</w:t>
      </w:r>
      <w:r>
        <w:rPr>
          <w:rFonts w:hint="eastAsia" w:ascii="仿宋" w:hAnsi="仿宋" w:eastAsia="仿宋" w:cs="仿宋"/>
          <w:sz w:val="32"/>
          <w:szCs w:val="32"/>
        </w:rPr>
        <w:t>收录期刊査询请参照</w:t>
      </w:r>
      <w:r>
        <w:fldChar w:fldCharType="begin"/>
      </w:r>
      <w:r>
        <w:instrText xml:space="preserve"> HYPERLINK "http://mjl" </w:instrText>
      </w:r>
      <w:r>
        <w:fldChar w:fldCharType="separate"/>
      </w:r>
      <w:r>
        <w:rPr>
          <w:rFonts w:hint="eastAsia" w:ascii="仿宋" w:hAnsi="仿宋" w:eastAsia="仿宋" w:cs="仿宋"/>
          <w:sz w:val="32"/>
          <w:szCs w:val="32"/>
          <w:lang w:val="en-US" w:bidi="en-US"/>
        </w:rPr>
        <w:t>http://mjl</w:t>
      </w:r>
      <w:r>
        <w:rPr>
          <w:rFonts w:hint="eastAsia" w:ascii="仿宋" w:hAnsi="仿宋" w:eastAsia="仿宋" w:cs="仿宋"/>
          <w:sz w:val="32"/>
          <w:szCs w:val="32"/>
          <w:lang w:val="en-US" w:bidi="en-US"/>
        </w:rPr>
        <w:fldChar w:fldCharType="end"/>
      </w:r>
      <w:r>
        <w:rPr>
          <w:rFonts w:hint="eastAsia" w:ascii="仿宋" w:hAnsi="仿宋" w:eastAsia="仿宋" w:cs="仿宋"/>
          <w:sz w:val="32"/>
          <w:szCs w:val="32"/>
          <w:lang w:val="en-US" w:bidi="en-US"/>
        </w:rPr>
        <w:t>.clarivate.com/；</w:t>
      </w:r>
    </w:p>
    <w:p w14:paraId="22075D82">
      <w:pPr>
        <w:pStyle w:val="37"/>
        <w:tabs>
          <w:tab w:val="left" w:pos="1244"/>
        </w:tabs>
        <w:spacing w:line="360" w:lineRule="auto"/>
        <w:ind w:firstLine="640" w:firstLineChars="200"/>
        <w:rPr>
          <w:rFonts w:ascii="仿宋" w:hAnsi="仿宋" w:eastAsia="仿宋" w:cs="仿宋"/>
          <w:sz w:val="32"/>
          <w:szCs w:val="32"/>
          <w:lang w:eastAsia="zh-CN"/>
        </w:rPr>
      </w:pPr>
      <w:bookmarkStart w:id="5" w:name="bookmark121"/>
      <w:r>
        <w:rPr>
          <w:rFonts w:hint="eastAsia" w:ascii="仿宋" w:hAnsi="仿宋" w:eastAsia="仿宋" w:cs="仿宋"/>
          <w:sz w:val="32"/>
          <w:szCs w:val="32"/>
        </w:rPr>
        <w:t>（</w:t>
      </w:r>
      <w:bookmarkEnd w:id="5"/>
      <w:r>
        <w:rPr>
          <w:rFonts w:hint="eastAsia" w:ascii="仿宋" w:hAnsi="仿宋" w:eastAsia="仿宋" w:cs="仿宋"/>
          <w:sz w:val="32"/>
          <w:szCs w:val="32"/>
          <w:lang w:val="en-US" w:eastAsia="zh-CN"/>
        </w:rPr>
        <w:t>8</w:t>
      </w:r>
      <w:r>
        <w:rPr>
          <w:rFonts w:hint="eastAsia" w:ascii="仿宋" w:hAnsi="仿宋" w:eastAsia="仿宋" w:cs="仿宋"/>
          <w:sz w:val="32"/>
          <w:szCs w:val="32"/>
        </w:rPr>
        <w:t>）在某一期刊的扩展版、增刊发表的论文不予计算。</w:t>
      </w:r>
    </w:p>
    <w:p w14:paraId="61B58911">
      <w:pPr>
        <w:pStyle w:val="37"/>
        <w:tabs>
          <w:tab w:val="left" w:pos="1244"/>
        </w:tabs>
        <w:spacing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（二）科研奖励加分</w:t>
      </w:r>
    </w:p>
    <w:p w14:paraId="0C5828EC">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lang w:bidi="ar"/>
        </w:rPr>
        <w:t>1、发表专利（以授权为准）：第一作者（</w:t>
      </w:r>
      <w:r>
        <w:rPr>
          <w:rFonts w:hint="eastAsia" w:ascii="仿宋" w:hAnsi="仿宋" w:eastAsia="仿宋" w:cs="仿宋"/>
          <w:color w:val="000000"/>
          <w:kern w:val="0"/>
          <w:sz w:val="32"/>
          <w:szCs w:val="32"/>
          <w:lang w:val="en-US" w:eastAsia="zh-CN" w:bidi="ar"/>
        </w:rPr>
        <w:t>3</w:t>
      </w:r>
      <w:r>
        <w:rPr>
          <w:rFonts w:hint="eastAsia" w:ascii="仿宋" w:hAnsi="仿宋" w:eastAsia="仿宋" w:cs="仿宋"/>
          <w:color w:val="000000"/>
          <w:kern w:val="0"/>
          <w:sz w:val="32"/>
          <w:szCs w:val="32"/>
          <w:lang w:bidi="ar"/>
        </w:rPr>
        <w:t xml:space="preserve"> 分），第二作者（</w:t>
      </w:r>
      <w:r>
        <w:rPr>
          <w:rFonts w:hint="eastAsia"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bidi="ar"/>
        </w:rPr>
        <w:t>5 分），第三作者（</w:t>
      </w:r>
      <w:r>
        <w:rPr>
          <w:rFonts w:hint="eastAsia" w:ascii="仿宋" w:hAnsi="仿宋" w:eastAsia="仿宋" w:cs="仿宋"/>
          <w:color w:val="000000"/>
          <w:kern w:val="0"/>
          <w:sz w:val="32"/>
          <w:szCs w:val="32"/>
          <w:lang w:val="en-US" w:eastAsia="zh-CN" w:bidi="ar"/>
        </w:rPr>
        <w:t>0.5</w:t>
      </w:r>
      <w:r>
        <w:rPr>
          <w:rFonts w:hint="eastAsia" w:ascii="仿宋" w:hAnsi="仿宋" w:eastAsia="仿宋" w:cs="仿宋"/>
          <w:color w:val="000000"/>
          <w:kern w:val="0"/>
          <w:sz w:val="32"/>
          <w:szCs w:val="32"/>
          <w:lang w:bidi="ar"/>
        </w:rPr>
        <w:t xml:space="preserve"> 分），其余不加分</w:t>
      </w:r>
      <w:r>
        <w:rPr>
          <w:rFonts w:hint="eastAsia" w:ascii="仿宋" w:hAnsi="仿宋" w:eastAsia="仿宋" w:cs="仿宋"/>
          <w:kern w:val="0"/>
          <w:sz w:val="32"/>
          <w:szCs w:val="32"/>
        </w:rPr>
        <w:t>。</w:t>
      </w:r>
    </w:p>
    <w:p w14:paraId="2D268DBF">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2、主要参与获省部级以上领导批示的决策咨询报告且排名前三（</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分）</w:t>
      </w:r>
    </w:p>
    <w:p w14:paraId="3B18B214">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（三）专著加分</w:t>
      </w:r>
    </w:p>
    <w:p w14:paraId="3D746D00">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华南农业大学为第一署名单位编写专著者，按照专著加分标准，主编计相应分值的100%，第一副主编计50%，第二副主编计30%，第三副主编计20%。在专著中明确标明某一章是第一负责人的，根据专著加分标准，按照第一作者参与编写章数除以专著总章数的百分比获得相应分值的加分。担任主编、副主编加分与撰写某章节加分不重复计算</w:t>
      </w:r>
    </w:p>
    <w:p w14:paraId="36867AA2">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专著是指取得ISBN统一书号、公开出版发行的本专业学术专著、编著、高校教材、译著、工具书、科普著作，且是个人独著或第一主编，每部字数必须达到10万字以上。专著达20万字以上的，按</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分/部计算；专著在10万字以上20万字以下的，按</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分/部计算。</w:t>
      </w:r>
    </w:p>
    <w:p w14:paraId="601B6653">
      <w:pPr>
        <w:spacing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六、服务奉献方面（满分5分）</w:t>
      </w:r>
    </w:p>
    <w:p w14:paraId="16317750">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（一）在服务乡村振兴、粤港澳大湾区建设等战略中表现突出：加2分</w:t>
      </w:r>
    </w:p>
    <w:p w14:paraId="02BB06E4">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（二）积极就业，响应国家号召应征入伍，献身国防事业，自愿到边远地区、艰苦行业和基层就业创业：加3分</w:t>
      </w:r>
    </w:p>
    <w:p w14:paraId="5C040F99">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（三）在校志愿时长达80小时（0.2分），达100小时（0.5分），达120小时（0.8分），150小时及以上（1分）</w:t>
      </w:r>
    </w:p>
    <w:p w14:paraId="22D75852">
      <w:pPr>
        <w:widowControl/>
        <w:spacing w:line="360" w:lineRule="auto"/>
        <w:ind w:firstLine="640" w:firstLineChars="200"/>
        <w:jc w:val="left"/>
        <w:rPr>
          <w:rFonts w:hint="eastAsia" w:ascii="仿宋" w:hAnsi="仿宋" w:eastAsia="仿宋" w:cs="仿宋"/>
          <w:color w:val="FF0000"/>
          <w:kern w:val="0"/>
          <w:sz w:val="32"/>
          <w:szCs w:val="32"/>
        </w:rPr>
      </w:pPr>
      <w:r>
        <w:rPr>
          <w:rFonts w:hint="eastAsia" w:ascii="仿宋" w:hAnsi="仿宋" w:eastAsia="仿宋" w:cs="仿宋"/>
          <w:kern w:val="0"/>
          <w:sz w:val="32"/>
          <w:szCs w:val="32"/>
        </w:rPr>
        <w:t>（四）参加各种科技兴农、科技咨询和挂职锻炼等社会实践活动（博士团、三下乡等），受校级表彰者，每人次加1分；市级单位表彰者，每人次加2分；受省部级单位表彰者，每人次加3分；受国家表彰者，每人次加5分。集体项目获奖则参与者减半加分。</w:t>
      </w:r>
    </w:p>
    <w:p w14:paraId="3A64164F">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（五）在见义勇为、拾金不昧、帮弱助残、抢险救灾、抢救伤残等方面有突出事迹，受校市级单位表彰者，每人次加2分；受省部级单位表彰者，每人次加3分；受国家级单位表彰者，每人次加5分。</w:t>
      </w:r>
    </w:p>
    <w:p w14:paraId="2CB8AA58">
      <w:pPr>
        <w:widowControl/>
        <w:spacing w:line="360" w:lineRule="auto"/>
        <w:ind w:firstLine="628" w:firstLineChars="200"/>
        <w:jc w:val="left"/>
        <w:rPr>
          <w:rFonts w:hint="eastAsia" w:ascii="仿宋" w:hAnsi="仿宋" w:eastAsia="仿宋" w:cs="仿宋"/>
          <w:kern w:val="0"/>
          <w:sz w:val="32"/>
          <w:szCs w:val="32"/>
        </w:rPr>
      </w:pPr>
      <w:r>
        <w:rPr>
          <w:rFonts w:hint="eastAsia" w:ascii="仿宋" w:hAnsi="仿宋" w:eastAsia="仿宋" w:cs="仿宋"/>
          <w:spacing w:val="-3"/>
          <w:kern w:val="0"/>
          <w:sz w:val="32"/>
          <w:szCs w:val="32"/>
        </w:rPr>
        <w:t>（六）主持广东省“攀登计划”项目的，项目负责人可在项目申报成功当年，申请加3分，项目持续期间不再重复加分。</w:t>
      </w:r>
    </w:p>
    <w:p w14:paraId="436BBD0C">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以上表彰加分均应有证书或等价文件证实，否则不得加分。同一事迹多次受表彰者，按照最高级别加分。</w:t>
      </w:r>
    </w:p>
    <w:p w14:paraId="1A420A10">
      <w:pPr>
        <w:widowControl/>
        <w:spacing w:line="360" w:lineRule="auto"/>
        <w:ind w:firstLine="640" w:firstLineChars="200"/>
        <w:jc w:val="right"/>
        <w:rPr>
          <w:rFonts w:hint="default" w:ascii="仿宋" w:hAnsi="仿宋" w:eastAsia="仿宋" w:cs="仿宋"/>
          <w:kern w:val="0"/>
          <w:sz w:val="32"/>
          <w:szCs w:val="32"/>
          <w:lang w:val="en-US" w:eastAsia="zh-CN"/>
        </w:rPr>
      </w:pPr>
      <w:bookmarkStart w:id="6" w:name="_GoBack"/>
      <w:bookmarkEnd w:id="6"/>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09D119-6402-44A8-8A86-7005654D2B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embedRegular r:id="rId2" w:fontKey="{F1126CB6-6311-4EB2-8DF9-46B4D29464E5}"/>
  </w:font>
  <w:font w:name="仿宋">
    <w:panose1 w:val="02010609060101010101"/>
    <w:charset w:val="86"/>
    <w:family w:val="modern"/>
    <w:pitch w:val="default"/>
    <w:sig w:usb0="800002BF" w:usb1="38CF7CFA" w:usb2="00000016" w:usb3="00000000" w:csb0="00040001" w:csb1="00000000"/>
    <w:embedRegular r:id="rId3" w:fontKey="{64C7953E-F118-4281-9D88-57DABAECB754}"/>
  </w:font>
  <w:font w:name="Tahoma">
    <w:panose1 w:val="020B0604030504040204"/>
    <w:charset w:val="00"/>
    <w:family w:val="swiss"/>
    <w:pitch w:val="default"/>
    <w:sig w:usb0="E1002EFF" w:usb1="C000605B" w:usb2="00000029" w:usb3="00000000" w:csb0="200101FF" w:csb1="20280000"/>
    <w:embedRegular r:id="rId4" w:fontKey="{DAAC601E-57C5-4EE8-A377-485C3E9612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57BBB">
    <w:pPr>
      <w:spacing w:line="1" w:lineRule="exact"/>
      <w:rPr>
        <w:rFonts w:hint="eastAsia"/>
      </w:rPr>
    </w:pPr>
    <w:r>
      <mc:AlternateContent>
        <mc:Choice Requires="wps">
          <w:drawing>
            <wp:anchor distT="0" distB="0" distL="114300" distR="114300" simplePos="0" relativeHeight="251659264" behindDoc="1" locked="0" layoutInCell="1" allowOverlap="1">
              <wp:simplePos x="0" y="0"/>
              <wp:positionH relativeFrom="page">
                <wp:posOffset>3670935</wp:posOffset>
              </wp:positionH>
              <wp:positionV relativeFrom="page">
                <wp:posOffset>9892030</wp:posOffset>
              </wp:positionV>
              <wp:extent cx="59690" cy="10033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59690" cy="100330"/>
                      </a:xfrm>
                      <a:prstGeom prst="rect">
                        <a:avLst/>
                      </a:prstGeom>
                      <a:noFill/>
                      <a:ln>
                        <a:noFill/>
                      </a:ln>
                      <a:effectLst/>
                    </wps:spPr>
                    <wps:txbx>
                      <w:txbxContent>
                        <w:p w14:paraId="1982D638">
                          <w:pPr>
                            <w:pStyle w:val="13"/>
                            <w:rPr>
                              <w:rFonts w:hint="eastAsia"/>
                              <w:color w:val="595959" w:themeColor="text1" w:themeTint="A6"/>
                              <w:sz w:val="22"/>
                              <w:szCs w:val="22"/>
                              <w14:textFill>
                                <w14:solidFill>
                                  <w14:schemeClr w14:val="tx1">
                                    <w14:lumMod w14:val="65000"/>
                                    <w14:lumOff w14:val="35000"/>
                                  </w14:schemeClr>
                                </w14:solidFill>
                              </w14:textFill>
                            </w:rPr>
                          </w:pPr>
                          <w:r>
                            <w:rPr>
                              <w:color w:val="595959" w:themeColor="text1" w:themeTint="A6"/>
                              <w:sz w:val="20"/>
                              <w:szCs w:val="20"/>
                              <w14:textFill>
                                <w14:solidFill>
                                  <w14:schemeClr w14:val="tx1">
                                    <w14:lumMod w14:val="65000"/>
                                    <w14:lumOff w14:val="35000"/>
                                  </w14:schemeClr>
                                </w14:solidFill>
                              </w14:textFill>
                            </w:rPr>
                            <w:fldChar w:fldCharType="begin"/>
                          </w:r>
                          <w:r>
                            <w:rPr>
                              <w:color w:val="595959" w:themeColor="text1" w:themeTint="A6"/>
                              <w14:textFill>
                                <w14:solidFill>
                                  <w14:schemeClr w14:val="tx1">
                                    <w14:lumMod w14:val="65000"/>
                                    <w14:lumOff w14:val="35000"/>
                                  </w14:schemeClr>
                                </w14:solidFill>
                              </w14:textFill>
                            </w:rPr>
                            <w:instrText xml:space="preserve"> PAGE \* MERGEFORMAT </w:instrText>
                          </w:r>
                          <w:r>
                            <w:rPr>
                              <w:color w:val="595959" w:themeColor="text1" w:themeTint="A6"/>
                              <w:sz w:val="20"/>
                              <w:szCs w:val="20"/>
                              <w14:textFill>
                                <w14:solidFill>
                                  <w14:schemeClr w14:val="tx1">
                                    <w14:lumMod w14:val="65000"/>
                                    <w14:lumOff w14:val="35000"/>
                                  </w14:schemeClr>
                                </w14:solidFill>
                              </w14:textFill>
                            </w:rPr>
                            <w:fldChar w:fldCharType="separate"/>
                          </w:r>
                          <w:r>
                            <w:rPr>
                              <w:color w:val="595959" w:themeColor="text1" w:themeTint="A6"/>
                              <w:sz w:val="22"/>
                              <w:szCs w:val="22"/>
                              <w14:textFill>
                                <w14:solidFill>
                                  <w14:schemeClr w14:val="tx1">
                                    <w14:lumMod w14:val="65000"/>
                                    <w14:lumOff w14:val="35000"/>
                                  </w14:schemeClr>
                                </w14:solidFill>
                              </w14:textFill>
                            </w:rPr>
                            <w:t>4</w:t>
                          </w:r>
                          <w:r>
                            <w:rPr>
                              <w:color w:val="595959" w:themeColor="text1" w:themeTint="A6"/>
                              <w:sz w:val="22"/>
                              <w:szCs w:val="22"/>
                              <w14:textFill>
                                <w14:solidFill>
                                  <w14:schemeClr w14:val="tx1">
                                    <w14:lumMod w14:val="65000"/>
                                    <w14:lumOff w14:val="35000"/>
                                  </w14:schemeClr>
                                </w14:solidFill>
                              </w14:textFill>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289.05pt;margin-top:778.9pt;height:7.9pt;width:4.7pt;mso-position-horizontal-relative:page;mso-position-vertical-relative:page;mso-wrap-style:none;z-index:-251657216;mso-width-relative:page;mso-height-relative:page;" filled="f" stroked="f" coordsize="21600,21600" o:gfxdata="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35X3HXAAAADQEAAA8AAAAAAAAAAQAgAAAAIgAAAGRy&#10;cy9kb3ducmV2LnhtbFBLAQIUABQAAAAIAIdO4kBewRZHzQEAAJoDAAAOAAAAAAAAAAEAIAAAACYB&#10;AABkcnMvZTJvRG9jLnhtbFBLBQYAAAAABgAGAFkBAABlBQAAAAA=&#10;">
              <v:fill on="f" focussize="0,0"/>
              <v:stroke on="f"/>
              <v:imagedata o:title=""/>
              <o:lock v:ext="edit" aspectratio="f"/>
              <v:textbox inset="0mm,0mm,0mm,0mm" style="mso-fit-shape-to-text:t;">
                <w:txbxContent>
                  <w:p w14:paraId="1982D638">
                    <w:pPr>
                      <w:pStyle w:val="13"/>
                      <w:rPr>
                        <w:rFonts w:hint="eastAsia"/>
                        <w:color w:val="595959" w:themeColor="text1" w:themeTint="A6"/>
                        <w:sz w:val="22"/>
                        <w:szCs w:val="22"/>
                        <w14:textFill>
                          <w14:solidFill>
                            <w14:schemeClr w14:val="tx1">
                              <w14:lumMod w14:val="65000"/>
                              <w14:lumOff w14:val="35000"/>
                            </w14:schemeClr>
                          </w14:solidFill>
                        </w14:textFill>
                      </w:rPr>
                    </w:pPr>
                    <w:r>
                      <w:rPr>
                        <w:color w:val="595959" w:themeColor="text1" w:themeTint="A6"/>
                        <w:sz w:val="20"/>
                        <w:szCs w:val="20"/>
                        <w14:textFill>
                          <w14:solidFill>
                            <w14:schemeClr w14:val="tx1">
                              <w14:lumMod w14:val="65000"/>
                              <w14:lumOff w14:val="35000"/>
                            </w14:schemeClr>
                          </w14:solidFill>
                        </w14:textFill>
                      </w:rPr>
                      <w:fldChar w:fldCharType="begin"/>
                    </w:r>
                    <w:r>
                      <w:rPr>
                        <w:color w:val="595959" w:themeColor="text1" w:themeTint="A6"/>
                        <w14:textFill>
                          <w14:solidFill>
                            <w14:schemeClr w14:val="tx1">
                              <w14:lumMod w14:val="65000"/>
                              <w14:lumOff w14:val="35000"/>
                            </w14:schemeClr>
                          </w14:solidFill>
                        </w14:textFill>
                      </w:rPr>
                      <w:instrText xml:space="preserve"> PAGE \* MERGEFORMAT </w:instrText>
                    </w:r>
                    <w:r>
                      <w:rPr>
                        <w:color w:val="595959" w:themeColor="text1" w:themeTint="A6"/>
                        <w:sz w:val="20"/>
                        <w:szCs w:val="20"/>
                        <w14:textFill>
                          <w14:solidFill>
                            <w14:schemeClr w14:val="tx1">
                              <w14:lumMod w14:val="65000"/>
                              <w14:lumOff w14:val="35000"/>
                            </w14:schemeClr>
                          </w14:solidFill>
                        </w14:textFill>
                      </w:rPr>
                      <w:fldChar w:fldCharType="separate"/>
                    </w:r>
                    <w:r>
                      <w:rPr>
                        <w:color w:val="595959" w:themeColor="text1" w:themeTint="A6"/>
                        <w:sz w:val="22"/>
                        <w:szCs w:val="22"/>
                        <w14:textFill>
                          <w14:solidFill>
                            <w14:schemeClr w14:val="tx1">
                              <w14:lumMod w14:val="65000"/>
                              <w14:lumOff w14:val="35000"/>
                            </w14:schemeClr>
                          </w14:solidFill>
                        </w14:textFill>
                      </w:rPr>
                      <w:t>4</w:t>
                    </w:r>
                    <w:r>
                      <w:rPr>
                        <w:color w:val="595959" w:themeColor="text1" w:themeTint="A6"/>
                        <w:sz w:val="22"/>
                        <w:szCs w:val="22"/>
                        <w14:textFill>
                          <w14:solidFill>
                            <w14:schemeClr w14:val="tx1">
                              <w14:lumMod w14:val="65000"/>
                              <w14:lumOff w14:val="35000"/>
                            </w14:schemeClr>
                          </w14:solidFill>
                        </w14:textFill>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842E30"/>
    <w:rsid w:val="00096881"/>
    <w:rsid w:val="002E4941"/>
    <w:rsid w:val="0046343E"/>
    <w:rsid w:val="00490A2D"/>
    <w:rsid w:val="004B0AAF"/>
    <w:rsid w:val="004B6277"/>
    <w:rsid w:val="004D0596"/>
    <w:rsid w:val="00524EA2"/>
    <w:rsid w:val="00550574"/>
    <w:rsid w:val="006A4B8E"/>
    <w:rsid w:val="00842E30"/>
    <w:rsid w:val="00A55B37"/>
    <w:rsid w:val="00BA0D4E"/>
    <w:rsid w:val="00D6261B"/>
    <w:rsid w:val="00E95989"/>
    <w:rsid w:val="00EA4876"/>
    <w:rsid w:val="00EF4CB5"/>
    <w:rsid w:val="00F350C8"/>
    <w:rsid w:val="11E6296C"/>
    <w:rsid w:val="13FC3205"/>
    <w:rsid w:val="255F005A"/>
    <w:rsid w:val="26FA6E51"/>
    <w:rsid w:val="35AA2B4D"/>
    <w:rsid w:val="716E7111"/>
    <w:rsid w:val="7CFA4F78"/>
    <w:rsid w:val="7E6A4288"/>
    <w:rsid w:val="7FF7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38"/>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table" w:customStyle="1" w:styleId="36">
    <w:name w:val="无格式表格 21"/>
    <w:basedOn w:val="15"/>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37">
    <w:name w:val="Body text|1"/>
    <w:basedOn w:val="1"/>
    <w:qFormat/>
    <w:uiPriority w:val="0"/>
    <w:pPr>
      <w:spacing w:line="442" w:lineRule="auto"/>
      <w:ind w:firstLine="400"/>
    </w:pPr>
    <w:rPr>
      <w:rFonts w:ascii="宋体" w:hAnsi="宋体" w:eastAsia="宋体" w:cs="宋体"/>
      <w:sz w:val="22"/>
      <w:lang w:val="zh-TW" w:eastAsia="zh-TW" w:bidi="zh-TW"/>
    </w:rPr>
  </w:style>
  <w:style w:type="character" w:customStyle="1" w:styleId="38">
    <w:name w:val="页眉 字符"/>
    <w:basedOn w:val="17"/>
    <w:link w:val="12"/>
    <w:uiPriority w:val="99"/>
    <w:rPr>
      <w:rFonts w:asciiTheme="minorHAnsi" w:hAnsiTheme="minorHAnsi" w:eastAsiaTheme="minorEastAsia" w:cstheme="minorBidi"/>
      <w:kern w:val="2"/>
      <w:sz w:val="18"/>
      <w:szCs w:val="18"/>
      <w14:ligatures w14:val="standardContextual"/>
    </w:rPr>
  </w:style>
  <w:style w:type="character" w:customStyle="1" w:styleId="39">
    <w:name w:val="页脚 字符"/>
    <w:basedOn w:val="17"/>
    <w:link w:val="11"/>
    <w:qFormat/>
    <w:uiPriority w:val="99"/>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DB2D99-D018-4691-9410-A6D2683444D8}">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4536</Words>
  <Characters>4672</Characters>
  <Lines>136</Lines>
  <Paragraphs>95</Paragraphs>
  <TotalTime>16</TotalTime>
  <ScaleCrop>false</ScaleCrop>
  <LinksUpToDate>false</LinksUpToDate>
  <CharactersWithSpaces>4719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2025-04-16T01:34:00Z</dcterms:created>
  <dc:creator>c D</dc:creator>
  <cp:lastModifiedBy>顾逍</cp:lastModifiedBy>
  <dcterms:modified xsi:type="dcterms:W3CDTF">2026-04-15T00:57:17Z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55AB13E555834A44BAA6BC04BAC92C15_13</vt:lpwstr>
  </property>
  <property fmtid="{D5CDD505-2E9C-101B-9397-08002B2CF9AE}" pid="4" name="KSOTemplateDocerSaveRecord">
    <vt:lpwstr>eyJoZGlkIjoiNWE3ODJlODFjMjNmMjY3YTAxOGVmYzA1ZTI5Y2U3ODUiLCJ1c2VySWQiOiIxNzQ3ODMxNjA1In0=</vt:lpwstr>
  </property>
</Properties>
</file>